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809" w:rsidRDefault="008930BA" w:rsidP="00DD2C35">
      <w:pPr>
        <w:pStyle w:val="TRWPTitleL1"/>
        <w:framePr w:w="10771" w:h="4837" w:hRule="exact" w:hSpace="180" w:wrap="around" w:vAnchor="page" w:hAnchor="page" w:x="1141" w:y="1238" w:anchorLock="1"/>
        <w:rPr>
          <w:b w:val="0"/>
          <w:sz w:val="60"/>
          <w:szCs w:val="60"/>
        </w:rPr>
      </w:pPr>
      <w:permStart w:id="649922310" w:ed="cathleen.howard@thomsonreuters.com"/>
      <w:permStart w:id="1445879809" w:ed="james.wilkie@thomsonreuters.com"/>
      <w:permEnd w:id="649922310"/>
      <w:permEnd w:id="1445879809"/>
      <w:r w:rsidRPr="000E3BE9">
        <w:rPr>
          <w:sz w:val="60"/>
          <w:szCs w:val="60"/>
        </w:rPr>
        <w:t>ONE</w:t>
      </w:r>
      <w:r w:rsidRPr="000E3BE9">
        <w:rPr>
          <w:b w:val="0"/>
          <w:sz w:val="60"/>
          <w:szCs w:val="60"/>
        </w:rPr>
        <w:t>SOURCE</w:t>
      </w:r>
      <w:r w:rsidRPr="001C4D18">
        <w:rPr>
          <w:b w:val="0"/>
          <w:sz w:val="60"/>
          <w:szCs w:val="60"/>
          <w:vertAlign w:val="superscript"/>
        </w:rPr>
        <w:t>®</w:t>
      </w:r>
      <w:r w:rsidRPr="000E3BE9">
        <w:rPr>
          <w:b w:val="0"/>
          <w:sz w:val="60"/>
          <w:szCs w:val="60"/>
        </w:rPr>
        <w:t xml:space="preserve"> </w:t>
      </w:r>
    </w:p>
    <w:p w:rsidR="008930BA" w:rsidRPr="00DD2C35" w:rsidRDefault="008930BA" w:rsidP="00DD2C35">
      <w:pPr>
        <w:pStyle w:val="TRWPTitleL1"/>
        <w:framePr w:w="10771" w:h="4837" w:hRule="exact" w:hSpace="180" w:wrap="around" w:vAnchor="page" w:hAnchor="page" w:x="1141" w:y="1238" w:anchorLock="1"/>
        <w:rPr>
          <w:b w:val="0"/>
          <w:sz w:val="56"/>
          <w:szCs w:val="56"/>
        </w:rPr>
      </w:pPr>
      <w:r w:rsidRPr="00DD2C35">
        <w:rPr>
          <w:b w:val="0"/>
          <w:sz w:val="56"/>
          <w:szCs w:val="56"/>
        </w:rPr>
        <w:t>T</w:t>
      </w:r>
      <w:r w:rsidR="00996809" w:rsidRPr="00DD2C35">
        <w:rPr>
          <w:b w:val="0"/>
          <w:sz w:val="56"/>
          <w:szCs w:val="56"/>
        </w:rPr>
        <w:t>RUST &amp; ESTATE ADMINISTRATION</w:t>
      </w:r>
    </w:p>
    <w:p w:rsidR="008930BA" w:rsidRPr="009875AE" w:rsidRDefault="001149CC" w:rsidP="00DD2C35">
      <w:pPr>
        <w:pStyle w:val="TRWPTitleL2"/>
        <w:framePr w:w="10771" w:h="4837" w:hRule="exact" w:hSpace="180" w:wrap="around" w:vAnchor="page" w:hAnchor="page" w:x="1141" w:y="1238" w:anchorLock="1"/>
        <w:spacing w:line="640" w:lineRule="exact"/>
        <w:rPr>
          <w:sz w:val="40"/>
          <w:szCs w:val="40"/>
        </w:rPr>
      </w:pPr>
      <w:r>
        <w:rPr>
          <w:sz w:val="40"/>
          <w:szCs w:val="40"/>
        </w:rPr>
        <w:t>System Requirements</w:t>
      </w:r>
    </w:p>
    <w:p w:rsidR="008930BA" w:rsidRPr="000E3BE9" w:rsidRDefault="008930BA" w:rsidP="00A9264B">
      <w:pPr>
        <w:spacing w:line="20" w:lineRule="exact"/>
        <w:rPr>
          <w:rFonts w:ascii="Arial" w:hAnsi="Arial" w:cs="Arial"/>
        </w:rPr>
      </w:pPr>
    </w:p>
    <w:p w:rsidR="008930BA" w:rsidRPr="000E3BE9" w:rsidRDefault="008930BA">
      <w:pPr>
        <w:rPr>
          <w:rFonts w:ascii="Arial" w:hAnsi="Arial" w:cs="Arial"/>
        </w:rPr>
        <w:sectPr w:rsidR="008930BA" w:rsidRPr="000E3BE9" w:rsidSect="00CF6F45">
          <w:footerReference w:type="default" r:id="rId8"/>
          <w:pgSz w:w="12240" w:h="15840" w:code="1"/>
          <w:pgMar w:top="8568" w:right="1080" w:bottom="1800" w:left="1440" w:header="720" w:footer="1152" w:gutter="0"/>
          <w:cols w:space="720"/>
          <w:docGrid w:linePitch="360"/>
        </w:sectPr>
      </w:pPr>
    </w:p>
    <w:p w:rsidR="008930BA" w:rsidRPr="000E3BE9" w:rsidRDefault="00971C51" w:rsidP="009E5BBF">
      <w:pPr>
        <w:rPr>
          <w:rFonts w:ascii="Arial" w:hAnsi="Arial" w:cs="Arial"/>
          <w:color w:val="4B4B4B"/>
          <w:sz w:val="32"/>
          <w:szCs w:val="32"/>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-5041900</wp:posOffset>
            </wp:positionV>
            <wp:extent cx="6286500" cy="4914900"/>
            <wp:effectExtent l="19050" t="0" r="0" b="0"/>
            <wp:wrapTopAndBottom/>
            <wp:docPr id="4" name="Picture 16" descr="WhtPaper_gradientBG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tPaper_gradientBG_Blue"/>
                    <pic:cNvPicPr>
                      <a:picLocks noChangeAspect="1" noChangeArrowheads="1"/>
                    </pic:cNvPicPr>
                  </pic:nvPicPr>
                  <pic:blipFill>
                    <a:blip r:embed="rId9"/>
                    <a:srcRect/>
                    <a:stretch>
                      <a:fillRect/>
                    </a:stretch>
                  </pic:blipFill>
                  <pic:spPr bwMode="auto">
                    <a:xfrm>
                      <a:off x="0" y="0"/>
                      <a:ext cx="6286500" cy="4914900"/>
                    </a:xfrm>
                    <a:prstGeom prst="rect">
                      <a:avLst/>
                    </a:prstGeom>
                    <a:noFill/>
                    <a:ln w="3175">
                      <a:miter lim="800000"/>
                      <a:headEnd/>
                      <a:tailEnd/>
                    </a:ln>
                  </pic:spPr>
                </pic:pic>
              </a:graphicData>
            </a:graphic>
          </wp:anchor>
        </w:drawing>
      </w:r>
    </w:p>
    <w:p w:rsidR="008930BA" w:rsidRPr="000E3BE9" w:rsidRDefault="008930BA" w:rsidP="009E5BBF">
      <w:pPr>
        <w:rPr>
          <w:rFonts w:ascii="Arial" w:hAnsi="Arial" w:cs="Arial"/>
          <w:color w:val="4B4B4B"/>
          <w:sz w:val="32"/>
          <w:szCs w:val="32"/>
        </w:rPr>
      </w:pPr>
    </w:p>
    <w:p w:rsidR="008930BA" w:rsidRPr="000E3BE9" w:rsidRDefault="008930BA" w:rsidP="00E83297">
      <w:pPr>
        <w:pStyle w:val="TRWPTxt"/>
        <w:sectPr w:rsidR="008930BA" w:rsidRPr="000E3BE9" w:rsidSect="00FA1705">
          <w:headerReference w:type="default" r:id="rId10"/>
          <w:footerReference w:type="default" r:id="rId11"/>
          <w:type w:val="continuous"/>
          <w:pgSz w:w="12240" w:h="15840"/>
          <w:pgMar w:top="1440" w:right="1080" w:bottom="562" w:left="1440" w:header="720" w:footer="230" w:gutter="0"/>
          <w:cols w:space="720" w:equalWidth="0">
            <w:col w:w="9360"/>
          </w:cols>
          <w:docGrid w:linePitch="360"/>
        </w:sectPr>
      </w:pPr>
    </w:p>
    <w:p w:rsidR="008930BA" w:rsidRPr="004F6FB1" w:rsidRDefault="008930BA" w:rsidP="004F6FB1">
      <w:pPr>
        <w:pStyle w:val="TRWPTxt"/>
        <w:rPr>
          <w:b/>
        </w:rPr>
      </w:pPr>
      <w:r w:rsidRPr="000E3BE9">
        <w:br w:type="page"/>
      </w:r>
      <w:r w:rsidRPr="004F6FB1">
        <w:rPr>
          <w:b/>
        </w:rPr>
        <w:lastRenderedPageBreak/>
        <w:t>Proprietary Materials</w:t>
      </w:r>
    </w:p>
    <w:p w:rsidR="00F406C5" w:rsidRDefault="008930BA" w:rsidP="00F406C5">
      <w:pPr>
        <w:pStyle w:val="TRWPTxt"/>
      </w:pPr>
      <w:r w:rsidRPr="000E3BE9">
        <w:t>No use of these Proprietary materials is permitted without the express written conse</w:t>
      </w:r>
      <w:r>
        <w:t xml:space="preserve">nt of or license from </w:t>
      </w:r>
      <w:bookmarkStart w:id="0" w:name="_Hlk524534012"/>
      <w:r w:rsidR="00F406C5">
        <w:t>©1999-</w:t>
      </w:r>
      <w:r w:rsidR="00F406C5">
        <w:fldChar w:fldCharType="begin"/>
      </w:r>
      <w:r w:rsidR="00F406C5">
        <w:instrText xml:space="preserve"> </w:instrText>
      </w:r>
      <w:r w:rsidR="00F406C5" w:rsidRPr="00004B19">
        <w:instrText>DATE \@ YYYY</w:instrText>
      </w:r>
      <w:r w:rsidR="00F406C5">
        <w:instrText xml:space="preserve"> </w:instrText>
      </w:r>
      <w:r w:rsidR="00F406C5">
        <w:fldChar w:fldCharType="separate"/>
      </w:r>
      <w:r w:rsidR="00B75807">
        <w:rPr>
          <w:noProof/>
        </w:rPr>
        <w:t>2018</w:t>
      </w:r>
      <w:r w:rsidR="00F406C5">
        <w:fldChar w:fldCharType="end"/>
      </w:r>
      <w:r w:rsidR="00F406C5">
        <w:t>, Thomson Reuters/ONESOURCE. Altering, copying, distributing, or reproducing any of these proprietary materials in any manner is expressly prohibited.</w:t>
      </w:r>
    </w:p>
    <w:p w:rsidR="00F406C5" w:rsidRDefault="00F406C5" w:rsidP="00F406C5">
      <w:pPr>
        <w:pStyle w:val="TRWPTxt"/>
        <w:rPr>
          <w:b/>
        </w:rPr>
      </w:pPr>
      <w:r>
        <w:rPr>
          <w:b/>
        </w:rPr>
        <w:t>Software License Agreement</w:t>
      </w:r>
    </w:p>
    <w:p w:rsidR="00F406C5" w:rsidRDefault="00F406C5" w:rsidP="00F406C5">
      <w:pPr>
        <w:pStyle w:val="TRWPTxt"/>
      </w:pPr>
      <w:r>
        <w:t>The right to use the software product described in this workbook is specifically conditioned upon your execution of and compliance with the Tax License Agreement with ©1999-</w:t>
      </w:r>
      <w:r>
        <w:fldChar w:fldCharType="begin"/>
      </w:r>
      <w:r>
        <w:instrText xml:space="preserve"> </w:instrText>
      </w:r>
      <w:r w:rsidRPr="00004B19">
        <w:instrText>DATE \@ YYYY</w:instrText>
      </w:r>
      <w:r>
        <w:instrText xml:space="preserve"> </w:instrText>
      </w:r>
      <w:r>
        <w:fldChar w:fldCharType="separate"/>
      </w:r>
      <w:r w:rsidR="00B75807">
        <w:rPr>
          <w:noProof/>
        </w:rPr>
        <w:t>2018</w:t>
      </w:r>
      <w:r>
        <w:fldChar w:fldCharType="end"/>
      </w:r>
      <w:r>
        <w:t>, Thomson Reuters/ONESOURCE.</w:t>
      </w:r>
    </w:p>
    <w:p w:rsidR="008930BA" w:rsidRPr="000E3BE9" w:rsidRDefault="00F406C5" w:rsidP="00F406C5">
      <w:pPr>
        <w:pStyle w:val="TRWPTxt"/>
      </w:pPr>
      <w:r>
        <w:t>All contents copyright ©1999-</w:t>
      </w:r>
      <w:r>
        <w:fldChar w:fldCharType="begin"/>
      </w:r>
      <w:r>
        <w:instrText xml:space="preserve"> </w:instrText>
      </w:r>
      <w:r w:rsidRPr="00004B19">
        <w:instrText>DATE \@ YYYY</w:instrText>
      </w:r>
      <w:r>
        <w:instrText xml:space="preserve"> </w:instrText>
      </w:r>
      <w:r>
        <w:fldChar w:fldCharType="separate"/>
      </w:r>
      <w:r w:rsidR="00B75807">
        <w:rPr>
          <w:noProof/>
        </w:rPr>
        <w:t>2018</w:t>
      </w:r>
      <w:r>
        <w:fldChar w:fldCharType="end"/>
      </w:r>
      <w:r>
        <w:t>, Thomson Reuters/ONESOURCE</w:t>
      </w:r>
      <w:bookmarkEnd w:id="0"/>
      <w:r w:rsidR="008930BA" w:rsidRPr="000E3BE9">
        <w:t>.</w:t>
      </w:r>
    </w:p>
    <w:p w:rsidR="008930BA" w:rsidRPr="000E3BE9" w:rsidRDefault="008930BA" w:rsidP="00E83297">
      <w:pPr>
        <w:pStyle w:val="TRWPTxt"/>
      </w:pPr>
    </w:p>
    <w:p w:rsidR="008930BA" w:rsidRPr="000E3BE9" w:rsidRDefault="008930BA" w:rsidP="00E83297">
      <w:pPr>
        <w:pStyle w:val="TRWPTxt"/>
        <w:sectPr w:rsidR="008930BA" w:rsidRPr="000E3BE9" w:rsidSect="00FA1705">
          <w:footerReference w:type="default" r:id="rId12"/>
          <w:type w:val="continuous"/>
          <w:pgSz w:w="12240" w:h="15840"/>
          <w:pgMar w:top="1440" w:right="1080" w:bottom="562" w:left="1440" w:header="720" w:footer="230" w:gutter="0"/>
          <w:cols w:space="720" w:equalWidth="0">
            <w:col w:w="9360"/>
          </w:cols>
          <w:docGrid w:linePitch="360"/>
        </w:sectPr>
      </w:pPr>
    </w:p>
    <w:p w:rsidR="008930BA" w:rsidRPr="000E3BE9" w:rsidRDefault="008930BA" w:rsidP="0055326F">
      <w:pPr>
        <w:spacing w:before="360" w:after="240"/>
        <w:rPr>
          <w:rFonts w:ascii="Arial" w:hAnsi="Arial" w:cs="Arial"/>
          <w:color w:val="005A84"/>
          <w:sz w:val="40"/>
          <w:szCs w:val="40"/>
        </w:rPr>
      </w:pPr>
      <w:r w:rsidRPr="000E3BE9">
        <w:rPr>
          <w:rFonts w:ascii="Arial" w:hAnsi="Arial" w:cs="Arial"/>
          <w:color w:val="005A84"/>
          <w:sz w:val="40"/>
          <w:szCs w:val="40"/>
        </w:rPr>
        <w:lastRenderedPageBreak/>
        <w:t>Contents</w:t>
      </w:r>
    </w:p>
    <w:p w:rsidR="007D426B" w:rsidRDefault="00AF72BB">
      <w:pPr>
        <w:pStyle w:val="TOC1"/>
        <w:rPr>
          <w:rFonts w:asciiTheme="minorHAnsi" w:eastAsiaTheme="minorEastAsia" w:hAnsiTheme="minorHAnsi" w:cstheme="minorBidi"/>
          <w:b w:val="0"/>
          <w:noProof/>
          <w:color w:val="auto"/>
          <w:sz w:val="22"/>
          <w:szCs w:val="22"/>
        </w:rPr>
      </w:pPr>
      <w:r w:rsidRPr="000E3BE9">
        <w:fldChar w:fldCharType="begin"/>
      </w:r>
      <w:r w:rsidR="008930BA" w:rsidRPr="000E3BE9">
        <w:instrText xml:space="preserve"> TOC \t "TR_WP_PgSubHead,2,TR_WP_TxtHead,3,TR_WP_PgHead,1" </w:instrText>
      </w:r>
      <w:r w:rsidRPr="000E3BE9">
        <w:fldChar w:fldCharType="separate"/>
      </w:r>
      <w:r w:rsidR="007D426B">
        <w:rPr>
          <w:noProof/>
        </w:rPr>
        <w:t>Introduction</w:t>
      </w:r>
      <w:r w:rsidR="007D426B">
        <w:rPr>
          <w:noProof/>
        </w:rPr>
        <w:tab/>
      </w:r>
      <w:r>
        <w:rPr>
          <w:noProof/>
        </w:rPr>
        <w:fldChar w:fldCharType="begin"/>
      </w:r>
      <w:r w:rsidR="007D426B">
        <w:rPr>
          <w:noProof/>
        </w:rPr>
        <w:instrText xml:space="preserve"> PAGEREF _Toc375642653 \h </w:instrText>
      </w:r>
      <w:r>
        <w:rPr>
          <w:noProof/>
        </w:rPr>
      </w:r>
      <w:r>
        <w:rPr>
          <w:noProof/>
        </w:rPr>
        <w:fldChar w:fldCharType="separate"/>
      </w:r>
      <w:r w:rsidR="00B75807">
        <w:rPr>
          <w:noProof/>
        </w:rPr>
        <w:t>1</w:t>
      </w:r>
      <w:r>
        <w:rPr>
          <w:noProof/>
        </w:rPr>
        <w:fldChar w:fldCharType="end"/>
      </w:r>
    </w:p>
    <w:p w:rsidR="007D426B" w:rsidRDefault="007D426B">
      <w:pPr>
        <w:pStyle w:val="TOC1"/>
        <w:rPr>
          <w:rFonts w:asciiTheme="minorHAnsi" w:eastAsiaTheme="minorEastAsia" w:hAnsiTheme="minorHAnsi" w:cstheme="minorBidi"/>
          <w:b w:val="0"/>
          <w:noProof/>
          <w:color w:val="auto"/>
          <w:sz w:val="22"/>
          <w:szCs w:val="22"/>
        </w:rPr>
      </w:pPr>
      <w:r>
        <w:rPr>
          <w:noProof/>
        </w:rPr>
        <w:t>System Requirements</w:t>
      </w:r>
      <w:r>
        <w:rPr>
          <w:noProof/>
        </w:rPr>
        <w:tab/>
      </w:r>
      <w:r w:rsidR="00AF72BB">
        <w:rPr>
          <w:noProof/>
        </w:rPr>
        <w:fldChar w:fldCharType="begin"/>
      </w:r>
      <w:r>
        <w:rPr>
          <w:noProof/>
        </w:rPr>
        <w:instrText xml:space="preserve"> PAGEREF _Toc375642654 \h </w:instrText>
      </w:r>
      <w:r w:rsidR="00AF72BB">
        <w:rPr>
          <w:noProof/>
        </w:rPr>
      </w:r>
      <w:r w:rsidR="00AF72BB">
        <w:rPr>
          <w:noProof/>
        </w:rPr>
        <w:fldChar w:fldCharType="separate"/>
      </w:r>
      <w:r w:rsidR="00B75807">
        <w:rPr>
          <w:noProof/>
        </w:rPr>
        <w:t>2</w:t>
      </w:r>
      <w:r w:rsidR="00AF72BB">
        <w:rPr>
          <w:noProof/>
        </w:rPr>
        <w:fldChar w:fldCharType="end"/>
      </w:r>
    </w:p>
    <w:p w:rsidR="007D426B" w:rsidRDefault="007D426B">
      <w:pPr>
        <w:pStyle w:val="TOC1"/>
        <w:rPr>
          <w:rFonts w:asciiTheme="minorHAnsi" w:eastAsiaTheme="minorEastAsia" w:hAnsiTheme="minorHAnsi" w:cstheme="minorBidi"/>
          <w:b w:val="0"/>
          <w:noProof/>
          <w:color w:val="auto"/>
          <w:sz w:val="22"/>
          <w:szCs w:val="22"/>
        </w:rPr>
      </w:pPr>
      <w:r>
        <w:rPr>
          <w:noProof/>
        </w:rPr>
        <w:t>Frequently Asked Questions</w:t>
      </w:r>
      <w:r>
        <w:rPr>
          <w:noProof/>
        </w:rPr>
        <w:tab/>
      </w:r>
      <w:r w:rsidR="00AF72BB">
        <w:rPr>
          <w:noProof/>
        </w:rPr>
        <w:fldChar w:fldCharType="begin"/>
      </w:r>
      <w:r>
        <w:rPr>
          <w:noProof/>
        </w:rPr>
        <w:instrText xml:space="preserve"> PAGEREF _Toc375642655 \h </w:instrText>
      </w:r>
      <w:r w:rsidR="00AF72BB">
        <w:rPr>
          <w:noProof/>
        </w:rPr>
      </w:r>
      <w:r w:rsidR="00AF72BB">
        <w:rPr>
          <w:noProof/>
        </w:rPr>
        <w:fldChar w:fldCharType="separate"/>
      </w:r>
      <w:r w:rsidR="00B75807">
        <w:rPr>
          <w:noProof/>
        </w:rPr>
        <w:t>3</w:t>
      </w:r>
      <w:r w:rsidR="00AF72BB">
        <w:rPr>
          <w:noProof/>
        </w:rPr>
        <w:fldChar w:fldCharType="end"/>
      </w:r>
    </w:p>
    <w:p w:rsidR="008930BA" w:rsidRPr="000E3BE9" w:rsidRDefault="00AF72BB" w:rsidP="009875AE">
      <w:pPr>
        <w:pStyle w:val="TRWPTxt"/>
        <w:tabs>
          <w:tab w:val="left" w:pos="6390"/>
          <w:tab w:val="right" w:leader="dot" w:pos="6480"/>
          <w:tab w:val="right" w:leader="dot" w:pos="6840"/>
        </w:tabs>
        <w:spacing w:after="0"/>
      </w:pPr>
      <w:r w:rsidRPr="000E3BE9">
        <w:fldChar w:fldCharType="end"/>
      </w:r>
    </w:p>
    <w:p w:rsidR="008930BA" w:rsidRPr="000E3BE9" w:rsidRDefault="008930BA" w:rsidP="00A47264">
      <w:pPr>
        <w:pStyle w:val="TRWPTxt"/>
        <w:spacing w:after="0"/>
        <w:sectPr w:rsidR="008930BA" w:rsidRPr="000E3BE9" w:rsidSect="004F6FB1">
          <w:footerReference w:type="default" r:id="rId13"/>
          <w:pgSz w:w="12240" w:h="15840"/>
          <w:pgMar w:top="1440" w:right="1080" w:bottom="562" w:left="1440" w:header="720" w:footer="230" w:gutter="0"/>
          <w:pgNumType w:fmt="lowerRoman" w:start="1"/>
          <w:cols w:space="720" w:equalWidth="0">
            <w:col w:w="9360"/>
          </w:cols>
          <w:docGrid w:linePitch="360"/>
        </w:sectPr>
      </w:pPr>
    </w:p>
    <w:p w:rsidR="008930BA" w:rsidRPr="000E3BE9" w:rsidRDefault="001149CC" w:rsidP="00FA16ED">
      <w:pPr>
        <w:pStyle w:val="TRWPPgHead"/>
      </w:pPr>
      <w:bookmarkStart w:id="1" w:name="_Toc375642653"/>
      <w:bookmarkStart w:id="2" w:name="OLE_LINK5"/>
      <w:bookmarkStart w:id="3" w:name="OLE_LINK6"/>
      <w:r>
        <w:lastRenderedPageBreak/>
        <w:t>Introduction</w:t>
      </w:r>
      <w:bookmarkEnd w:id="1"/>
    </w:p>
    <w:bookmarkEnd w:id="2"/>
    <w:bookmarkEnd w:id="3"/>
    <w:p w:rsidR="001149CC" w:rsidRDefault="001149CC" w:rsidP="001149CC">
      <w:pPr>
        <w:rPr>
          <w:rFonts w:ascii="Arial" w:hAnsi="Arial" w:cs="Arial"/>
          <w:color w:val="000080"/>
        </w:rPr>
      </w:pPr>
      <w:r>
        <w:rPr>
          <w:rFonts w:ascii="Arial" w:hAnsi="Arial" w:cs="Arial"/>
          <w:color w:val="000080"/>
        </w:rPr>
        <w:t xml:space="preserve">The ONESOURCE Trust &amp; Estate Administration programs (formerly Fast-Tax FPS) may be installed on either a workstation or network server. </w:t>
      </w:r>
    </w:p>
    <w:p w:rsidR="001149CC" w:rsidRDefault="001149CC" w:rsidP="001149CC">
      <w:pPr>
        <w:rPr>
          <w:rFonts w:ascii="Arial" w:hAnsi="Arial" w:cs="Arial"/>
          <w:color w:val="000080"/>
        </w:rPr>
      </w:pPr>
    </w:p>
    <w:p w:rsidR="001149CC" w:rsidRDefault="001149CC" w:rsidP="001149CC">
      <w:pPr>
        <w:rPr>
          <w:rFonts w:ascii="Arial" w:hAnsi="Arial" w:cs="Arial"/>
          <w:color w:val="000080"/>
        </w:rPr>
      </w:pPr>
      <w:r>
        <w:rPr>
          <w:rFonts w:ascii="Arial" w:hAnsi="Arial" w:cs="Arial"/>
          <w:color w:val="000080"/>
        </w:rPr>
        <w:t xml:space="preserve">Please review the following system requirements to determine if your computer equipment meets the recommended systems requirements. </w:t>
      </w:r>
    </w:p>
    <w:p w:rsidR="001149CC" w:rsidRDefault="001149CC" w:rsidP="001149CC">
      <w:pPr>
        <w:rPr>
          <w:rFonts w:ascii="Arial" w:hAnsi="Arial" w:cs="Arial"/>
          <w:color w:val="000080"/>
        </w:rPr>
      </w:pPr>
    </w:p>
    <w:p w:rsidR="001149CC" w:rsidRDefault="001149CC" w:rsidP="001149CC">
      <w:r>
        <w:rPr>
          <w:rFonts w:ascii="Arial" w:hAnsi="Arial" w:cs="Arial"/>
          <w:color w:val="000080"/>
        </w:rPr>
        <w:t>If you require additional information or assistance please consult with our Sales department at 800.331.2533. M-F 8am-5pm Eastern.</w:t>
      </w: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Default="00AC60A5" w:rsidP="00FA16ED">
      <w:pPr>
        <w:pStyle w:val="TRWPTxt"/>
      </w:pPr>
    </w:p>
    <w:p w:rsidR="00AC60A5" w:rsidRPr="00B848B2" w:rsidRDefault="00AC60A5" w:rsidP="00AC60A5">
      <w:pPr>
        <w:pStyle w:val="TRWPTxt"/>
      </w:pPr>
      <w:r>
        <w:t>For more information</w:t>
      </w:r>
      <w:r w:rsidRPr="0037420B">
        <w:t xml:space="preserve"> </w:t>
      </w:r>
      <w:r>
        <w:t xml:space="preserve">about any of the listed system requirements, contact our Support group at </w:t>
      </w:r>
      <w:r w:rsidR="00F406C5" w:rsidRPr="00F406C5">
        <w:t>800-327-8829 option 1, 2</w:t>
      </w:r>
      <w:r>
        <w:t>, 8a-7p Eastern Monday-Friday.</w:t>
      </w:r>
    </w:p>
    <w:p w:rsidR="008930BA" w:rsidRPr="000E3BE9" w:rsidRDefault="008930BA" w:rsidP="00FA16ED">
      <w:pPr>
        <w:pStyle w:val="TRWPTxt"/>
      </w:pPr>
      <w:r w:rsidRPr="000E3BE9">
        <w:br w:type="page"/>
      </w:r>
    </w:p>
    <w:p w:rsidR="008930BA" w:rsidRDefault="001149CC" w:rsidP="00FA16ED">
      <w:pPr>
        <w:pStyle w:val="TRWPPgHead"/>
      </w:pPr>
      <w:bookmarkStart w:id="4" w:name="_Toc375642654"/>
      <w:r>
        <w:lastRenderedPageBreak/>
        <w:t>System Requirements</w:t>
      </w:r>
      <w:bookmarkEnd w:id="4"/>
    </w:p>
    <w:tbl>
      <w:tblPr>
        <w:tblW w:w="10440" w:type="dxa"/>
        <w:tblCellSpacing w:w="0" w:type="dxa"/>
        <w:tblInd w:w="-360" w:type="dxa"/>
        <w:tblCellMar>
          <w:left w:w="0" w:type="dxa"/>
          <w:right w:w="0" w:type="dxa"/>
        </w:tblCellMar>
        <w:tblLook w:val="0000" w:firstRow="0" w:lastRow="0" w:firstColumn="0" w:lastColumn="0" w:noHBand="0" w:noVBand="0"/>
      </w:tblPr>
      <w:tblGrid>
        <w:gridCol w:w="1868"/>
        <w:gridCol w:w="8572"/>
      </w:tblGrid>
      <w:tr w:rsidR="001149CC" w:rsidTr="00A40F33">
        <w:trPr>
          <w:tblHeader/>
          <w:tblCellSpacing w:w="0" w:type="dxa"/>
        </w:trPr>
        <w:tc>
          <w:tcPr>
            <w:tcW w:w="1868" w:type="dxa"/>
            <w:tcBorders>
              <w:top w:val="single" w:sz="6" w:space="0" w:color="CCCCCC"/>
              <w:left w:val="single" w:sz="6" w:space="0" w:color="CCCCCC"/>
            </w:tcBorders>
            <w:shd w:val="clear" w:color="auto" w:fill="FFD890"/>
            <w:tcMar>
              <w:top w:w="75" w:type="dxa"/>
              <w:left w:w="75" w:type="dxa"/>
              <w:bottom w:w="75" w:type="dxa"/>
              <w:right w:w="75" w:type="dxa"/>
            </w:tcMar>
          </w:tcPr>
          <w:p w:rsidR="001149CC" w:rsidRDefault="001149CC" w:rsidP="00390AF6">
            <w:pPr>
              <w:rPr>
                <w:rFonts w:ascii="Verdana" w:hAnsi="Verdana"/>
                <w:b/>
                <w:bCs/>
                <w:color w:val="000000"/>
                <w:sz w:val="17"/>
                <w:szCs w:val="17"/>
              </w:rPr>
            </w:pPr>
            <w:r>
              <w:rPr>
                <w:rFonts w:ascii="Verdana" w:hAnsi="Verdana"/>
                <w:b/>
                <w:bCs/>
                <w:color w:val="000000"/>
                <w:sz w:val="17"/>
                <w:szCs w:val="17"/>
              </w:rPr>
              <w:t>Component</w:t>
            </w:r>
          </w:p>
        </w:tc>
        <w:tc>
          <w:tcPr>
            <w:tcW w:w="8572" w:type="dxa"/>
            <w:tcBorders>
              <w:top w:val="single" w:sz="6" w:space="0" w:color="CCCCCC"/>
              <w:left w:val="single" w:sz="6" w:space="0" w:color="CCCCCC"/>
            </w:tcBorders>
            <w:shd w:val="clear" w:color="auto" w:fill="FFD890"/>
            <w:tcMar>
              <w:top w:w="75" w:type="dxa"/>
              <w:left w:w="75" w:type="dxa"/>
              <w:bottom w:w="75" w:type="dxa"/>
              <w:right w:w="75" w:type="dxa"/>
            </w:tcMar>
          </w:tcPr>
          <w:p w:rsidR="001149CC" w:rsidRDefault="001149CC" w:rsidP="00390AF6">
            <w:pPr>
              <w:rPr>
                <w:rFonts w:ascii="Verdana" w:hAnsi="Verdana"/>
                <w:b/>
                <w:bCs/>
                <w:color w:val="000000"/>
                <w:sz w:val="17"/>
                <w:szCs w:val="17"/>
              </w:rPr>
            </w:pPr>
            <w:r>
              <w:rPr>
                <w:rFonts w:ascii="Verdana" w:hAnsi="Verdana"/>
                <w:b/>
                <w:bCs/>
                <w:color w:val="000000"/>
                <w:sz w:val="17"/>
                <w:szCs w:val="17"/>
              </w:rPr>
              <w:t>Requirement</w:t>
            </w:r>
          </w:p>
        </w:tc>
      </w:tr>
      <w:tr w:rsidR="001149CC" w:rsidTr="00A40F33">
        <w:trPr>
          <w:tblCellSpacing w:w="0" w:type="dxa"/>
        </w:trPr>
        <w:tc>
          <w:tcPr>
            <w:tcW w:w="1868" w:type="dxa"/>
            <w:tcBorders>
              <w:top w:val="single" w:sz="6" w:space="0" w:color="CCCCCC"/>
              <w:left w:val="single" w:sz="6" w:space="0" w:color="CCCCCC"/>
            </w:tcBorders>
            <w:shd w:val="clear" w:color="auto" w:fill="F0F0F0"/>
            <w:tcMar>
              <w:top w:w="75" w:type="dxa"/>
              <w:left w:w="75" w:type="dxa"/>
              <w:bottom w:w="75" w:type="dxa"/>
              <w:right w:w="75" w:type="dxa"/>
            </w:tcMar>
          </w:tcPr>
          <w:p w:rsidR="001149CC" w:rsidRDefault="001149CC" w:rsidP="00390AF6">
            <w:pPr>
              <w:pStyle w:val="lastincell"/>
              <w:rPr>
                <w:b/>
                <w:bCs/>
              </w:rPr>
            </w:pPr>
            <w:r>
              <w:rPr>
                <w:b/>
                <w:bCs/>
              </w:rPr>
              <w:t>Computer and processor</w:t>
            </w:r>
          </w:p>
        </w:tc>
        <w:tc>
          <w:tcPr>
            <w:tcW w:w="8572" w:type="dxa"/>
            <w:tcBorders>
              <w:top w:val="single" w:sz="6" w:space="0" w:color="CCCCCC"/>
              <w:left w:val="single" w:sz="6" w:space="0" w:color="CCCCCC"/>
              <w:right w:val="single" w:sz="6" w:space="0" w:color="CCCCCC"/>
            </w:tcBorders>
            <w:tcMar>
              <w:top w:w="75" w:type="dxa"/>
              <w:left w:w="75" w:type="dxa"/>
              <w:bottom w:w="75" w:type="dxa"/>
              <w:right w:w="75" w:type="dxa"/>
            </w:tcMar>
          </w:tcPr>
          <w:p w:rsidR="001149CC" w:rsidRDefault="001149CC" w:rsidP="00390AF6">
            <w:pPr>
              <w:pStyle w:val="lastincell"/>
            </w:pPr>
            <w:r>
              <w:t xml:space="preserve">Minimum Intel Pentium IV </w:t>
            </w:r>
            <w:r w:rsidR="00704B25">
              <w:t>1.8</w:t>
            </w:r>
            <w:r>
              <w:t xml:space="preserve"> GHz processor or faster is recommended.</w:t>
            </w:r>
          </w:p>
          <w:p w:rsidR="001149CC" w:rsidRDefault="00390AF6" w:rsidP="00390AF6">
            <w:pPr>
              <w:pStyle w:val="lastincell"/>
            </w:pPr>
            <w:r>
              <w:t>Applications are 32-bit and are tested and compatible with 64-bit Operating Systems.</w:t>
            </w:r>
          </w:p>
        </w:tc>
      </w:tr>
      <w:tr w:rsidR="001149CC" w:rsidTr="00AC4D06">
        <w:trPr>
          <w:trHeight w:val="252"/>
          <w:tblCellSpacing w:w="0" w:type="dxa"/>
        </w:trPr>
        <w:tc>
          <w:tcPr>
            <w:tcW w:w="1868" w:type="dxa"/>
            <w:tcBorders>
              <w:top w:val="single" w:sz="6" w:space="0" w:color="CCCCCC"/>
              <w:left w:val="single" w:sz="6" w:space="0" w:color="CCCCCC"/>
            </w:tcBorders>
            <w:shd w:val="clear" w:color="auto" w:fill="F0F0F0"/>
            <w:tcMar>
              <w:top w:w="75" w:type="dxa"/>
              <w:left w:w="75" w:type="dxa"/>
              <w:bottom w:w="75" w:type="dxa"/>
              <w:right w:w="75" w:type="dxa"/>
            </w:tcMar>
          </w:tcPr>
          <w:p w:rsidR="001149CC" w:rsidRDefault="001149CC" w:rsidP="00390AF6">
            <w:pPr>
              <w:pStyle w:val="lastincell"/>
              <w:rPr>
                <w:b/>
                <w:bCs/>
              </w:rPr>
            </w:pPr>
            <w:r>
              <w:rPr>
                <w:b/>
                <w:bCs/>
              </w:rPr>
              <w:t>Memory</w:t>
            </w:r>
          </w:p>
        </w:tc>
        <w:tc>
          <w:tcPr>
            <w:tcW w:w="8572" w:type="dxa"/>
            <w:tcBorders>
              <w:top w:val="single" w:sz="6" w:space="0" w:color="CCCCCC"/>
              <w:left w:val="single" w:sz="6" w:space="0" w:color="CCCCCC"/>
              <w:right w:val="single" w:sz="6" w:space="0" w:color="CCCCCC"/>
            </w:tcBorders>
            <w:tcMar>
              <w:top w:w="75" w:type="dxa"/>
              <w:left w:w="75" w:type="dxa"/>
              <w:bottom w:w="75" w:type="dxa"/>
              <w:right w:w="75" w:type="dxa"/>
            </w:tcMar>
          </w:tcPr>
          <w:p w:rsidR="001149CC" w:rsidRDefault="00E01823" w:rsidP="00E34A74">
            <w:pPr>
              <w:pStyle w:val="lastincell"/>
            </w:pPr>
            <w:r>
              <w:t xml:space="preserve">Minimum </w:t>
            </w:r>
            <w:r w:rsidR="00E34A74">
              <w:t>2</w:t>
            </w:r>
            <w:r w:rsidR="001149CC">
              <w:t>GB (</w:t>
            </w:r>
            <w:r w:rsidR="00E34A74">
              <w:t>2048M</w:t>
            </w:r>
            <w:r w:rsidR="001149CC">
              <w:t>B) of RAM</w:t>
            </w:r>
            <w:r>
              <w:t>,</w:t>
            </w:r>
            <w:r w:rsidR="00390AF6">
              <w:t xml:space="preserve"> 4GB+ RAM recommended.</w:t>
            </w:r>
          </w:p>
        </w:tc>
      </w:tr>
      <w:tr w:rsidR="001149CC" w:rsidTr="00613289">
        <w:trPr>
          <w:trHeight w:val="315"/>
          <w:tblCellSpacing w:w="0" w:type="dxa"/>
        </w:trPr>
        <w:tc>
          <w:tcPr>
            <w:tcW w:w="1868" w:type="dxa"/>
            <w:tcBorders>
              <w:top w:val="single" w:sz="6" w:space="0" w:color="CCCCCC"/>
              <w:left w:val="single" w:sz="6" w:space="0" w:color="CCCCCC"/>
            </w:tcBorders>
            <w:shd w:val="clear" w:color="auto" w:fill="F0F0F0"/>
            <w:tcMar>
              <w:top w:w="75" w:type="dxa"/>
              <w:left w:w="75" w:type="dxa"/>
              <w:bottom w:w="75" w:type="dxa"/>
              <w:right w:w="75" w:type="dxa"/>
            </w:tcMar>
          </w:tcPr>
          <w:p w:rsidR="001149CC" w:rsidRDefault="001149CC" w:rsidP="00390AF6">
            <w:pPr>
              <w:pStyle w:val="lastincell"/>
              <w:rPr>
                <w:b/>
                <w:bCs/>
              </w:rPr>
            </w:pPr>
            <w:r>
              <w:rPr>
                <w:b/>
                <w:bCs/>
              </w:rPr>
              <w:t>Hard disk</w:t>
            </w:r>
          </w:p>
        </w:tc>
        <w:tc>
          <w:tcPr>
            <w:tcW w:w="8572" w:type="dxa"/>
            <w:tcBorders>
              <w:top w:val="single" w:sz="6" w:space="0" w:color="CCCCCC"/>
              <w:left w:val="single" w:sz="6" w:space="0" w:color="CCCCCC"/>
              <w:right w:val="single" w:sz="6" w:space="0" w:color="CCCCCC"/>
            </w:tcBorders>
            <w:tcMar>
              <w:top w:w="75" w:type="dxa"/>
              <w:left w:w="75" w:type="dxa"/>
              <w:bottom w:w="75" w:type="dxa"/>
              <w:right w:w="75" w:type="dxa"/>
            </w:tcMar>
          </w:tcPr>
          <w:p w:rsidR="001149CC" w:rsidRDefault="001149CC" w:rsidP="00390AF6">
            <w:pPr>
              <w:pStyle w:val="lastincell"/>
            </w:pPr>
            <w:r>
              <w:t>Minimum 50MB hard-disk space per application per year and 1MB per Client.</w:t>
            </w:r>
          </w:p>
        </w:tc>
      </w:tr>
      <w:tr w:rsidR="001149CC" w:rsidTr="00A40F33">
        <w:trPr>
          <w:tblCellSpacing w:w="0" w:type="dxa"/>
        </w:trPr>
        <w:tc>
          <w:tcPr>
            <w:tcW w:w="1868" w:type="dxa"/>
            <w:tcBorders>
              <w:top w:val="single" w:sz="6" w:space="0" w:color="CCCCCC"/>
              <w:left w:val="single" w:sz="6" w:space="0" w:color="CCCCCC"/>
            </w:tcBorders>
            <w:shd w:val="clear" w:color="auto" w:fill="F0F0F0"/>
            <w:tcMar>
              <w:top w:w="75" w:type="dxa"/>
              <w:left w:w="75" w:type="dxa"/>
              <w:bottom w:w="75" w:type="dxa"/>
              <w:right w:w="75" w:type="dxa"/>
            </w:tcMar>
          </w:tcPr>
          <w:p w:rsidR="001149CC" w:rsidRDefault="001149CC" w:rsidP="00390AF6">
            <w:pPr>
              <w:pStyle w:val="lastincell"/>
              <w:rPr>
                <w:b/>
                <w:bCs/>
              </w:rPr>
            </w:pPr>
            <w:r>
              <w:rPr>
                <w:b/>
                <w:bCs/>
              </w:rPr>
              <w:t>Display</w:t>
            </w:r>
          </w:p>
        </w:tc>
        <w:tc>
          <w:tcPr>
            <w:tcW w:w="8572" w:type="dxa"/>
            <w:tcBorders>
              <w:top w:val="single" w:sz="6" w:space="0" w:color="CCCCCC"/>
              <w:left w:val="single" w:sz="6" w:space="0" w:color="CCCCCC"/>
              <w:right w:val="single" w:sz="6" w:space="0" w:color="CCCCCC"/>
            </w:tcBorders>
            <w:tcMar>
              <w:top w:w="75" w:type="dxa"/>
              <w:left w:w="75" w:type="dxa"/>
              <w:bottom w:w="75" w:type="dxa"/>
              <w:right w:w="75" w:type="dxa"/>
            </w:tcMar>
          </w:tcPr>
          <w:p w:rsidR="001149CC" w:rsidRDefault="001149CC" w:rsidP="00CC57B8">
            <w:pPr>
              <w:pStyle w:val="lastincell"/>
            </w:pPr>
            <w:r>
              <w:t xml:space="preserve">1024 × 768 or higher-resolution monitor, 96DPI (Normal/100%) Font Size.  </w:t>
            </w:r>
            <w:r w:rsidR="008A7D31">
              <w:t>C</w:t>
            </w:r>
            <w:r>
              <w:t xml:space="preserve">ustom font sizes as high as 115% </w:t>
            </w:r>
            <w:r w:rsidR="008A7D31">
              <w:t xml:space="preserve">have been reported to function </w:t>
            </w:r>
            <w:r>
              <w:t>but anything above 96DPI/100% is NOT supported.</w:t>
            </w:r>
            <w:r w:rsidR="00A150B9">
              <w:t xml:space="preserve">  1041 2012</w:t>
            </w:r>
            <w:r w:rsidR="00376AE8">
              <w:t xml:space="preserve"> and later</w:t>
            </w:r>
            <w:r w:rsidR="00A150B9">
              <w:t xml:space="preserve"> REQUIRES 96DPI/Normal/100% Font Sizes.</w:t>
            </w:r>
            <w:r w:rsidR="00390AF6">
              <w:t xml:space="preserve">  </w:t>
            </w:r>
            <w:r w:rsidR="00E01823">
              <w:t>Minimum 64</w:t>
            </w:r>
            <w:r w:rsidR="00390AF6">
              <w:t>MB video RAM per monitor</w:t>
            </w:r>
            <w:r w:rsidR="00E01823">
              <w:t>, 512MB video RAM per monitor recommended for best performance.</w:t>
            </w:r>
            <w:r w:rsidR="00E24491">
              <w:t xml:space="preserve">  HD Aspect Ratio Resolutions (720i, 720p, 1080i, 1080p) are not supported</w:t>
            </w:r>
            <w:r w:rsidR="00613289">
              <w:t xml:space="preserve"> (</w:t>
            </w:r>
            <w:r w:rsidR="00CC57B8">
              <w:t>FAQ 6</w:t>
            </w:r>
            <w:r w:rsidR="00612CFC">
              <w:t>)</w:t>
            </w:r>
            <w:r w:rsidR="00E24491">
              <w:t>.</w:t>
            </w:r>
          </w:p>
        </w:tc>
      </w:tr>
      <w:tr w:rsidR="001149CC" w:rsidTr="00A40F33">
        <w:trPr>
          <w:tblCellSpacing w:w="0" w:type="dxa"/>
        </w:trPr>
        <w:tc>
          <w:tcPr>
            <w:tcW w:w="1868" w:type="dxa"/>
            <w:tcBorders>
              <w:top w:val="single" w:sz="6" w:space="0" w:color="CCCCCC"/>
              <w:left w:val="single" w:sz="6" w:space="0" w:color="CCCCCC"/>
            </w:tcBorders>
            <w:shd w:val="clear" w:color="auto" w:fill="F0F0F0"/>
            <w:tcMar>
              <w:top w:w="75" w:type="dxa"/>
              <w:left w:w="75" w:type="dxa"/>
              <w:bottom w:w="75" w:type="dxa"/>
              <w:right w:w="75" w:type="dxa"/>
            </w:tcMar>
          </w:tcPr>
          <w:p w:rsidR="001149CC" w:rsidRDefault="001149CC" w:rsidP="00390AF6">
            <w:pPr>
              <w:pStyle w:val="lastincell"/>
              <w:rPr>
                <w:b/>
                <w:bCs/>
              </w:rPr>
            </w:pPr>
            <w:r>
              <w:rPr>
                <w:b/>
                <w:bCs/>
              </w:rPr>
              <w:t>Office Suite</w:t>
            </w:r>
          </w:p>
        </w:tc>
        <w:tc>
          <w:tcPr>
            <w:tcW w:w="8572" w:type="dxa"/>
            <w:tcBorders>
              <w:top w:val="single" w:sz="6" w:space="0" w:color="CCCCCC"/>
              <w:left w:val="single" w:sz="6" w:space="0" w:color="CCCCCC"/>
              <w:right w:val="single" w:sz="6" w:space="0" w:color="CCCCCC"/>
            </w:tcBorders>
            <w:tcMar>
              <w:top w:w="75" w:type="dxa"/>
              <w:left w:w="75" w:type="dxa"/>
              <w:bottom w:w="75" w:type="dxa"/>
              <w:right w:w="75" w:type="dxa"/>
            </w:tcMar>
          </w:tcPr>
          <w:p w:rsidR="001149CC" w:rsidRDefault="0067551B" w:rsidP="00F913D4">
            <w:pPr>
              <w:pStyle w:val="lastincell"/>
            </w:pPr>
            <w:r>
              <w:t>Office 2010</w:t>
            </w:r>
            <w:r w:rsidR="009E7519">
              <w:t>-2016</w:t>
            </w:r>
            <w:r w:rsidR="0067793B">
              <w:t xml:space="preserve"> </w:t>
            </w:r>
            <w:r w:rsidR="00F406C5">
              <w:t xml:space="preserve">and Office 365 </w:t>
            </w:r>
            <w:r w:rsidR="0067793B">
              <w:t xml:space="preserve">32-bit </w:t>
            </w:r>
            <w:r w:rsidR="001149CC">
              <w:t>required for zCalc (</w:t>
            </w:r>
            <w:r w:rsidR="00927AB6">
              <w:t>Tool Box/</w:t>
            </w:r>
            <w:r w:rsidR="001149CC">
              <w:t>Estate Planner</w:t>
            </w:r>
            <w:r w:rsidR="008A7D31">
              <w:t xml:space="preserve"> and/or Presentations</w:t>
            </w:r>
            <w:r w:rsidR="00C23574">
              <w:t>)</w:t>
            </w:r>
            <w:r>
              <w:t xml:space="preserve"> (FAQ 10</w:t>
            </w:r>
            <w:r w:rsidR="00AC60A5">
              <w:t>)</w:t>
            </w:r>
            <w:r w:rsidR="00C23574">
              <w:t>.</w:t>
            </w:r>
            <w:r w:rsidR="00F913D4">
              <w:t xml:space="preserve">  </w:t>
            </w:r>
            <w:r w:rsidR="00C23574">
              <w:t>Office for Mac and 64-bit version</w:t>
            </w:r>
            <w:r w:rsidR="0039383D">
              <w:t>s</w:t>
            </w:r>
            <w:r w:rsidR="00C23574">
              <w:t xml:space="preserve"> of Office are not compatible or supported.</w:t>
            </w:r>
            <w:r w:rsidR="009E7519">
              <w:t xml:space="preserve">  </w:t>
            </w:r>
            <w:r w:rsidR="001149CC">
              <w:t>Document Management systems may interfere with zCalc functionality.</w:t>
            </w:r>
            <w:r w:rsidR="00455716">
              <w:t xml:space="preserve"> </w:t>
            </w:r>
          </w:p>
        </w:tc>
      </w:tr>
      <w:tr w:rsidR="001149CC" w:rsidTr="00A40F33">
        <w:trPr>
          <w:tblCellSpacing w:w="0" w:type="dxa"/>
        </w:trPr>
        <w:tc>
          <w:tcPr>
            <w:tcW w:w="1868" w:type="dxa"/>
            <w:tcBorders>
              <w:top w:val="single" w:sz="6" w:space="0" w:color="CCCCCC"/>
              <w:left w:val="single" w:sz="6" w:space="0" w:color="CCCCCC"/>
            </w:tcBorders>
            <w:shd w:val="clear" w:color="auto" w:fill="F0F0F0"/>
            <w:tcMar>
              <w:top w:w="75" w:type="dxa"/>
              <w:left w:w="75" w:type="dxa"/>
              <w:bottom w:w="75" w:type="dxa"/>
              <w:right w:w="75" w:type="dxa"/>
            </w:tcMar>
          </w:tcPr>
          <w:p w:rsidR="001149CC" w:rsidRDefault="001149CC" w:rsidP="00390AF6">
            <w:pPr>
              <w:pStyle w:val="lastincell"/>
              <w:rPr>
                <w:b/>
                <w:bCs/>
              </w:rPr>
            </w:pPr>
            <w:r>
              <w:rPr>
                <w:b/>
                <w:bCs/>
              </w:rPr>
              <w:t>Operating system</w:t>
            </w:r>
          </w:p>
          <w:p w:rsidR="001149CC" w:rsidRDefault="001149CC" w:rsidP="00390AF6">
            <w:pPr>
              <w:pStyle w:val="lastincell"/>
              <w:rPr>
                <w:b/>
                <w:bCs/>
              </w:rPr>
            </w:pPr>
            <w:r>
              <w:rPr>
                <w:b/>
                <w:bCs/>
              </w:rPr>
              <w:t>(desktop)</w:t>
            </w:r>
          </w:p>
        </w:tc>
        <w:tc>
          <w:tcPr>
            <w:tcW w:w="8572" w:type="dxa"/>
            <w:tcBorders>
              <w:top w:val="single" w:sz="6" w:space="0" w:color="CCCCCC"/>
              <w:left w:val="single" w:sz="6" w:space="0" w:color="CCCCCC"/>
              <w:right w:val="single" w:sz="6" w:space="0" w:color="CCCCCC"/>
            </w:tcBorders>
            <w:tcMar>
              <w:top w:w="75" w:type="dxa"/>
              <w:left w:w="75" w:type="dxa"/>
              <w:bottom w:w="75" w:type="dxa"/>
              <w:right w:w="75" w:type="dxa"/>
            </w:tcMar>
          </w:tcPr>
          <w:p w:rsidR="00E50F07" w:rsidRDefault="001149CC" w:rsidP="00E50F07">
            <w:pPr>
              <w:pStyle w:val="lastincell"/>
            </w:pPr>
            <w:r>
              <w:t xml:space="preserve">Microsoft Windows </w:t>
            </w:r>
            <w:r w:rsidR="00E34A74">
              <w:t>7, 8.1, and 10 are tested and function, but some features may require elevated permissions vi</w:t>
            </w:r>
            <w:r w:rsidR="00613289">
              <w:t>a Run As Administrator (</w:t>
            </w:r>
            <w:r w:rsidR="00AC4D06">
              <w:t>FAQ 5</w:t>
            </w:r>
            <w:r w:rsidR="00E34A74">
              <w:t xml:space="preserve">).  </w:t>
            </w:r>
            <w:r w:rsidR="00E50F07">
              <w:t>Virtualized Windows Desktop Environments function and require Advantage Database Server license.  Microsoft .NET Framework v4.5.2 required for certain applications including 1041 e-Filing and 1041 Printing.</w:t>
            </w:r>
          </w:p>
          <w:p w:rsidR="001149CC" w:rsidRDefault="001B6404" w:rsidP="00AC4D06">
            <w:pPr>
              <w:pStyle w:val="lastincell"/>
            </w:pPr>
            <w:r>
              <w:t>Windows XP</w:t>
            </w:r>
            <w:r w:rsidR="00EB1264">
              <w:t xml:space="preserve"> and Vista</w:t>
            </w:r>
            <w:r>
              <w:t xml:space="preserve"> </w:t>
            </w:r>
            <w:r w:rsidR="00EB1264">
              <w:t>are</w:t>
            </w:r>
            <w:r>
              <w:t xml:space="preserve"> no </w:t>
            </w:r>
            <w:r w:rsidR="00AC4D06">
              <w:t xml:space="preserve">longer supported and </w:t>
            </w:r>
            <w:r w:rsidR="00184F98">
              <w:t xml:space="preserve">Windows </w:t>
            </w:r>
            <w:r w:rsidR="00534601">
              <w:t xml:space="preserve">8 </w:t>
            </w:r>
            <w:r w:rsidR="00AC4D06">
              <w:t xml:space="preserve">is </w:t>
            </w:r>
            <w:r w:rsidR="00E50F07">
              <w:t xml:space="preserve">no longer tested. </w:t>
            </w:r>
            <w:r w:rsidR="00534601">
              <w:t>(</w:t>
            </w:r>
            <w:r w:rsidR="00CC57B8">
              <w:t>FAQ 7, 8</w:t>
            </w:r>
            <w:r w:rsidR="00534601">
              <w:t xml:space="preserve">)  </w:t>
            </w:r>
            <w:r w:rsidR="001149CC">
              <w:t xml:space="preserve">We DO NOT </w:t>
            </w:r>
            <w:r w:rsidR="00021204">
              <w:t xml:space="preserve">support </w:t>
            </w:r>
            <w:r w:rsidR="001149CC">
              <w:t xml:space="preserve">running on Mac hardware </w:t>
            </w:r>
            <w:r w:rsidR="00C92299">
              <w:t>using</w:t>
            </w:r>
            <w:r w:rsidR="001149CC">
              <w:t xml:space="preserve"> Windows</w:t>
            </w:r>
            <w:r w:rsidR="00C92299">
              <w:t>, nor in</w:t>
            </w:r>
            <w:r w:rsidR="001149CC">
              <w:t xml:space="preserve"> a Linux</w:t>
            </w:r>
            <w:r w:rsidR="0069568F">
              <w:t xml:space="preserve"> OS</w:t>
            </w:r>
            <w:r w:rsidR="001149CC">
              <w:t xml:space="preserve">.  </w:t>
            </w:r>
          </w:p>
        </w:tc>
      </w:tr>
      <w:tr w:rsidR="001149CC" w:rsidTr="00A40F33">
        <w:trPr>
          <w:tblCellSpacing w:w="0" w:type="dxa"/>
        </w:trPr>
        <w:tc>
          <w:tcPr>
            <w:tcW w:w="1868" w:type="dxa"/>
            <w:tcBorders>
              <w:top w:val="single" w:sz="6" w:space="0" w:color="CCCCCC"/>
              <w:left w:val="single" w:sz="6" w:space="0" w:color="CCCCCC"/>
            </w:tcBorders>
            <w:shd w:val="clear" w:color="auto" w:fill="F0F0F0"/>
            <w:tcMar>
              <w:top w:w="75" w:type="dxa"/>
              <w:left w:w="75" w:type="dxa"/>
              <w:bottom w:w="75" w:type="dxa"/>
              <w:right w:w="75" w:type="dxa"/>
            </w:tcMar>
          </w:tcPr>
          <w:p w:rsidR="001149CC" w:rsidRDefault="00A40F33" w:rsidP="00A40F33">
            <w:pPr>
              <w:pStyle w:val="lastincell"/>
              <w:rPr>
                <w:b/>
                <w:bCs/>
              </w:rPr>
            </w:pPr>
            <w:r>
              <w:rPr>
                <w:b/>
                <w:bCs/>
              </w:rPr>
              <w:t xml:space="preserve">Network OS </w:t>
            </w:r>
            <w:r w:rsidR="001149CC">
              <w:rPr>
                <w:b/>
                <w:bCs/>
              </w:rPr>
              <w:t>(Server)</w:t>
            </w:r>
          </w:p>
        </w:tc>
        <w:tc>
          <w:tcPr>
            <w:tcW w:w="8572" w:type="dxa"/>
            <w:tcBorders>
              <w:top w:val="single" w:sz="6" w:space="0" w:color="CCCCCC"/>
              <w:left w:val="single" w:sz="6" w:space="0" w:color="CCCCCC"/>
              <w:right w:val="single" w:sz="6" w:space="0" w:color="CCCCCC"/>
            </w:tcBorders>
            <w:tcMar>
              <w:top w:w="75" w:type="dxa"/>
              <w:left w:w="75" w:type="dxa"/>
              <w:bottom w:w="75" w:type="dxa"/>
              <w:right w:w="75" w:type="dxa"/>
            </w:tcMar>
          </w:tcPr>
          <w:p w:rsidR="001149CC" w:rsidRDefault="00D63929" w:rsidP="00EB226A">
            <w:pPr>
              <w:pStyle w:val="lastincell"/>
            </w:pPr>
            <w:r w:rsidRPr="00D63929">
              <w:t xml:space="preserve">Windows Server OS versions 2008-2012 tested and functional.  </w:t>
            </w:r>
            <w:r w:rsidR="00AC4D06">
              <w:t xml:space="preserve">Server 2016 is untested, but functions.  </w:t>
            </w:r>
            <w:r w:rsidR="00E34A74">
              <w:t xml:space="preserve">Remote Desktop, Citrix and Terminal server require an Advantage Database Server license.  </w:t>
            </w:r>
            <w:r w:rsidRPr="00D63929">
              <w:t>Remote environments based on Server 2012</w:t>
            </w:r>
            <w:bookmarkStart w:id="5" w:name="_GoBack"/>
            <w:bookmarkEnd w:id="5"/>
            <w:r w:rsidRPr="00D63929">
              <w:t xml:space="preserve"> strongly recommended to use ADS 11.  </w:t>
            </w:r>
            <w:r w:rsidR="00021204">
              <w:t>W</w:t>
            </w:r>
            <w:r w:rsidR="001149CC">
              <w:t>e do not support use of our applications within</w:t>
            </w:r>
            <w:r w:rsidR="00021204">
              <w:t xml:space="preserve"> </w:t>
            </w:r>
            <w:r w:rsidR="00184F98">
              <w:t xml:space="preserve">Novell networks, </w:t>
            </w:r>
            <w:r w:rsidR="00033FE9">
              <w:t xml:space="preserve">Peer-to-Peer desktop, </w:t>
            </w:r>
            <w:r w:rsidR="00021204">
              <w:t xml:space="preserve">DFS, FQDN, </w:t>
            </w:r>
            <w:r w:rsidR="001149CC">
              <w:t>Apple/Mac, Linux</w:t>
            </w:r>
            <w:r w:rsidR="00EB226A">
              <w:t xml:space="preserve"> server, or SAN/NAS</w:t>
            </w:r>
            <w:r w:rsidR="001149CC">
              <w:t xml:space="preserve">. </w:t>
            </w:r>
            <w:r w:rsidR="00A40F33">
              <w:t xml:space="preserve"> </w:t>
            </w:r>
            <w:r w:rsidR="001149CC">
              <w:t>UNC path shortcuts are NOT supported; drive letter mappings are REQUIRED.</w:t>
            </w:r>
          </w:p>
        </w:tc>
      </w:tr>
      <w:tr w:rsidR="001149CC" w:rsidTr="00A40F33">
        <w:trPr>
          <w:tblCellSpacing w:w="0" w:type="dxa"/>
        </w:trPr>
        <w:tc>
          <w:tcPr>
            <w:tcW w:w="1868" w:type="dxa"/>
            <w:tcBorders>
              <w:top w:val="single" w:sz="6" w:space="0" w:color="CCCCCC"/>
              <w:left w:val="single" w:sz="6" w:space="0" w:color="CCCCCC"/>
            </w:tcBorders>
            <w:shd w:val="clear" w:color="auto" w:fill="F0F0F0"/>
            <w:tcMar>
              <w:top w:w="75" w:type="dxa"/>
              <w:left w:w="75" w:type="dxa"/>
              <w:bottom w:w="75" w:type="dxa"/>
              <w:right w:w="75" w:type="dxa"/>
            </w:tcMar>
          </w:tcPr>
          <w:p w:rsidR="001149CC" w:rsidRDefault="001149CC" w:rsidP="00390AF6">
            <w:pPr>
              <w:pStyle w:val="lastincell"/>
              <w:rPr>
                <w:b/>
                <w:bCs/>
              </w:rPr>
            </w:pPr>
            <w:r>
              <w:rPr>
                <w:b/>
                <w:bCs/>
              </w:rPr>
              <w:t>Printer</w:t>
            </w:r>
          </w:p>
        </w:tc>
        <w:tc>
          <w:tcPr>
            <w:tcW w:w="8572" w:type="dxa"/>
            <w:tcBorders>
              <w:top w:val="single" w:sz="6" w:space="0" w:color="CCCCCC"/>
              <w:left w:val="single" w:sz="6" w:space="0" w:color="CCCCCC"/>
              <w:right w:val="single" w:sz="6" w:space="0" w:color="CCCCCC"/>
            </w:tcBorders>
            <w:tcMar>
              <w:top w:w="75" w:type="dxa"/>
              <w:left w:w="75" w:type="dxa"/>
              <w:bottom w:w="75" w:type="dxa"/>
              <w:right w:w="75" w:type="dxa"/>
            </w:tcMar>
          </w:tcPr>
          <w:p w:rsidR="001149CC" w:rsidRDefault="001149CC" w:rsidP="00390AF6">
            <w:pPr>
              <w:pStyle w:val="lastincell"/>
            </w:pPr>
            <w:r>
              <w:t xml:space="preserve">Laser printer with 4MB (minimum) or 8MB (recommended) memory, PCL5 or PCL5e driver, HP driver rated. </w:t>
            </w:r>
          </w:p>
        </w:tc>
      </w:tr>
      <w:tr w:rsidR="001149CC" w:rsidTr="00A40F33">
        <w:trPr>
          <w:tblCellSpacing w:w="0" w:type="dxa"/>
        </w:trPr>
        <w:tc>
          <w:tcPr>
            <w:tcW w:w="1868" w:type="dxa"/>
            <w:tcBorders>
              <w:top w:val="single" w:sz="6" w:space="0" w:color="CCCCCC"/>
              <w:left w:val="single" w:sz="6" w:space="0" w:color="CCCCCC"/>
              <w:bottom w:val="single" w:sz="6" w:space="0" w:color="CCCCCC"/>
            </w:tcBorders>
            <w:shd w:val="clear" w:color="auto" w:fill="F0F0F0"/>
            <w:tcMar>
              <w:top w:w="75" w:type="dxa"/>
              <w:left w:w="75" w:type="dxa"/>
              <w:bottom w:w="75" w:type="dxa"/>
              <w:right w:w="75" w:type="dxa"/>
            </w:tcMar>
          </w:tcPr>
          <w:p w:rsidR="001149CC" w:rsidRDefault="001149CC" w:rsidP="00390AF6">
            <w:pPr>
              <w:pStyle w:val="lastincell"/>
              <w:rPr>
                <w:b/>
                <w:bCs/>
              </w:rPr>
            </w:pPr>
            <w:r>
              <w:rPr>
                <w:b/>
                <w:bCs/>
              </w:rPr>
              <w:t>Internet Connection</w:t>
            </w:r>
          </w:p>
        </w:tc>
        <w:tc>
          <w:tcPr>
            <w:tcW w:w="857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rsidR="001149CC" w:rsidRDefault="001149CC" w:rsidP="00390AF6">
            <w:pPr>
              <w:pStyle w:val="lastincell"/>
            </w:pPr>
            <w:r>
              <w:t xml:space="preserve">A broadband </w:t>
            </w:r>
            <w:r w:rsidRPr="00B43BC1">
              <w:t>Internet connection is</w:t>
            </w:r>
            <w:r>
              <w:t xml:space="preserve"> required to download</w:t>
            </w:r>
            <w:r w:rsidR="003E14D0">
              <w:t xml:space="preserve"> and register</w:t>
            </w:r>
            <w:r>
              <w:t xml:space="preserve"> the software from our website</w:t>
            </w:r>
            <w:r w:rsidR="005B3177">
              <w:t>,</w:t>
            </w:r>
            <w:r>
              <w:t xml:space="preserve"> for operation of </w:t>
            </w:r>
            <w:r w:rsidRPr="00B43BC1">
              <w:t>the program</w:t>
            </w:r>
            <w:r w:rsidR="005B3177">
              <w:t>, and for 1041 E-filing</w:t>
            </w:r>
            <w:r>
              <w:t xml:space="preserve">.  </w:t>
            </w:r>
          </w:p>
          <w:p w:rsidR="001149CC" w:rsidRDefault="005B3177" w:rsidP="00033FE9">
            <w:pPr>
              <w:pStyle w:val="lastincell"/>
            </w:pPr>
            <w:r>
              <w:t xml:space="preserve">The 1041 2014-year </w:t>
            </w:r>
            <w:r w:rsidR="001149CC">
              <w:t xml:space="preserve">requires </w:t>
            </w:r>
            <w:r w:rsidR="003E14D0">
              <w:t xml:space="preserve">Microsoft </w:t>
            </w:r>
            <w:r w:rsidR="00704B25">
              <w:t>Internet Explorer</w:t>
            </w:r>
            <w:r w:rsidR="00534601">
              <w:t xml:space="preserve"> </w:t>
            </w:r>
            <w:r w:rsidR="00033FE9">
              <w:t>11</w:t>
            </w:r>
            <w:r w:rsidR="00613289">
              <w:t xml:space="preserve"> (</w:t>
            </w:r>
            <w:r w:rsidR="00CC57B8">
              <w:t>FAQ 9</w:t>
            </w:r>
            <w:r w:rsidR="00534601">
              <w:t>)</w:t>
            </w:r>
            <w:r w:rsidR="00704B25">
              <w:t xml:space="preserve">; </w:t>
            </w:r>
            <w:r w:rsidR="001149CC">
              <w:t xml:space="preserve">ActiveX controls </w:t>
            </w:r>
            <w:r w:rsidR="00704B25">
              <w:t>must</w:t>
            </w:r>
            <w:r w:rsidR="001149CC">
              <w:t xml:space="preserve"> be</w:t>
            </w:r>
            <w:r w:rsidR="003E14D0">
              <w:t xml:space="preserve"> allowed to download or be manually</w:t>
            </w:r>
            <w:r w:rsidR="001149CC">
              <w:t xml:space="preserve"> installed for functionality</w:t>
            </w:r>
            <w:r w:rsidR="00704B25">
              <w:t xml:space="preserve">.  </w:t>
            </w:r>
            <w:r w:rsidR="00033FE9">
              <w:t>Compatibility View settings may be required</w:t>
            </w:r>
            <w:r w:rsidR="00704B25">
              <w:t>.</w:t>
            </w:r>
            <w:r w:rsidR="00A40F33">
              <w:t xml:space="preserve">  </w:t>
            </w:r>
          </w:p>
        </w:tc>
      </w:tr>
      <w:tr w:rsidR="001149CC" w:rsidTr="00A40F33">
        <w:trPr>
          <w:tblCellSpacing w:w="0" w:type="dxa"/>
        </w:trPr>
        <w:tc>
          <w:tcPr>
            <w:tcW w:w="1868" w:type="dxa"/>
            <w:tcBorders>
              <w:top w:val="single" w:sz="6" w:space="0" w:color="CCCCCC"/>
              <w:left w:val="single" w:sz="6" w:space="0" w:color="CCCCCC"/>
            </w:tcBorders>
            <w:shd w:val="clear" w:color="auto" w:fill="F0F0F0"/>
            <w:tcMar>
              <w:top w:w="75" w:type="dxa"/>
              <w:left w:w="75" w:type="dxa"/>
              <w:bottom w:w="75" w:type="dxa"/>
              <w:right w:w="75" w:type="dxa"/>
            </w:tcMar>
          </w:tcPr>
          <w:p w:rsidR="001149CC" w:rsidRDefault="001149CC" w:rsidP="00390AF6">
            <w:pPr>
              <w:pStyle w:val="lastincell"/>
              <w:rPr>
                <w:b/>
                <w:bCs/>
              </w:rPr>
            </w:pPr>
            <w:r>
              <w:rPr>
                <w:b/>
                <w:bCs/>
              </w:rPr>
              <w:t>Data Backups</w:t>
            </w:r>
          </w:p>
        </w:tc>
        <w:tc>
          <w:tcPr>
            <w:tcW w:w="8572" w:type="dxa"/>
            <w:tcBorders>
              <w:top w:val="single" w:sz="6" w:space="0" w:color="CCCCCC"/>
              <w:left w:val="single" w:sz="6" w:space="0" w:color="CCCCCC"/>
              <w:right w:val="single" w:sz="6" w:space="0" w:color="CCCCCC"/>
            </w:tcBorders>
            <w:tcMar>
              <w:top w:w="75" w:type="dxa"/>
              <w:left w:w="75" w:type="dxa"/>
              <w:bottom w:w="75" w:type="dxa"/>
              <w:right w:w="75" w:type="dxa"/>
            </w:tcMar>
          </w:tcPr>
          <w:p w:rsidR="001149CC" w:rsidRDefault="001149CC" w:rsidP="00786749">
            <w:pPr>
              <w:pStyle w:val="lastincell"/>
            </w:pPr>
            <w:r>
              <w:t>Each firm is responsible for their own data backups.  We DO NOT support</w:t>
            </w:r>
            <w:r w:rsidR="005028BB">
              <w:t xml:space="preserve"> </w:t>
            </w:r>
            <w:r>
              <w:t>installing and running the programs from an external backup device.  We do not provide for automated data backups.</w:t>
            </w:r>
            <w:r w:rsidR="004F0601">
              <w:t xml:space="preserve">  </w:t>
            </w:r>
            <w:r w:rsidR="003E14D0">
              <w:t>Integrated</w:t>
            </w:r>
            <w:r w:rsidR="004F0601">
              <w:t xml:space="preserve"> backup services (Carbonite, Dropbox, Memeo</w:t>
            </w:r>
            <w:r w:rsidR="005028BB">
              <w:t>, etc</w:t>
            </w:r>
            <w:r w:rsidR="004F0601">
              <w:t xml:space="preserve">) </w:t>
            </w:r>
            <w:r w:rsidR="00373240">
              <w:t xml:space="preserve">used </w:t>
            </w:r>
            <w:r w:rsidR="00534601">
              <w:t>as the</w:t>
            </w:r>
            <w:r w:rsidR="00786749">
              <w:t xml:space="preserve"> installation location for t</w:t>
            </w:r>
            <w:r w:rsidR="00373240">
              <w:t xml:space="preserve">he program install </w:t>
            </w:r>
            <w:r w:rsidR="004F0601">
              <w:t>may negatively impact usage of the program.</w:t>
            </w:r>
          </w:p>
        </w:tc>
      </w:tr>
    </w:tbl>
    <w:p w:rsidR="001149CC" w:rsidRDefault="001149CC" w:rsidP="009875AE">
      <w:pPr>
        <w:pStyle w:val="TRWPTxt"/>
      </w:pPr>
    </w:p>
    <w:p w:rsidR="00677608" w:rsidRDefault="00677608" w:rsidP="00677608">
      <w:pPr>
        <w:pStyle w:val="TRWPPgHead"/>
      </w:pPr>
      <w:bookmarkStart w:id="6" w:name="_Toc375642655"/>
      <w:r>
        <w:t>Frequently Asked Questions</w:t>
      </w:r>
      <w:bookmarkEnd w:id="6"/>
    </w:p>
    <w:p w:rsidR="00677608" w:rsidRDefault="00CC57B8" w:rsidP="009875AE">
      <w:pPr>
        <w:pStyle w:val="TRWPTxt"/>
      </w:pPr>
      <w:r>
        <w:rPr>
          <w:b/>
        </w:rPr>
        <w:t>Q1</w:t>
      </w:r>
      <w:r w:rsidR="00677608" w:rsidRPr="00874713">
        <w:rPr>
          <w:b/>
        </w:rPr>
        <w:t>:</w:t>
      </w:r>
      <w:r w:rsidR="00677608">
        <w:t xml:space="preserve">  Will the ONESOURCE Trust &amp; Estate Administration software run on a Netbook or Tablet?</w:t>
      </w:r>
    </w:p>
    <w:p w:rsidR="00677608" w:rsidRDefault="00677608" w:rsidP="009875AE">
      <w:pPr>
        <w:pStyle w:val="TRWPTxt"/>
      </w:pPr>
      <w:r w:rsidRPr="00874713">
        <w:rPr>
          <w:b/>
        </w:rPr>
        <w:t>A:</w:t>
      </w:r>
      <w:r>
        <w:t xml:space="preserve">  The ONESOURCE Trust &amp; Estate Administration software will run on a Netbook o</w:t>
      </w:r>
      <w:r w:rsidR="00740C6E">
        <w:t xml:space="preserve">r Tablet running Windows OS (Win7 </w:t>
      </w:r>
      <w:r>
        <w:t xml:space="preserve">or </w:t>
      </w:r>
      <w:r w:rsidR="00862B91">
        <w:t>newer</w:t>
      </w:r>
      <w:r>
        <w:t>) however keep in mind that those devices are typically slower than a “full featured” laptop or desktop.  Additionally, the applications are NOT optimized for touchscreen input</w:t>
      </w:r>
      <w:r w:rsidR="00C92299">
        <w:t xml:space="preserve"> or for the</w:t>
      </w:r>
      <w:r w:rsidR="00033FE9">
        <w:t xml:space="preserve"> screens</w:t>
      </w:r>
      <w:r w:rsidR="00C92299">
        <w:t xml:space="preserve"> smaller</w:t>
      </w:r>
      <w:r w:rsidR="00033FE9">
        <w:t xml:space="preserve"> than those which are typically available on standard laptops or desktop computers</w:t>
      </w:r>
      <w:r>
        <w:t>.</w:t>
      </w:r>
    </w:p>
    <w:p w:rsidR="00677608" w:rsidRDefault="00CC57B8" w:rsidP="009875AE">
      <w:pPr>
        <w:pStyle w:val="TRWPTxt"/>
      </w:pPr>
      <w:r>
        <w:rPr>
          <w:b/>
        </w:rPr>
        <w:t>Q2</w:t>
      </w:r>
      <w:r w:rsidR="00677608" w:rsidRPr="00874713">
        <w:rPr>
          <w:b/>
        </w:rPr>
        <w:t>:</w:t>
      </w:r>
      <w:r w:rsidR="00677608">
        <w:t xml:space="preserve">  We use a Document Management System (DMS).  How will that affect the ONESOURCE Trust &amp; Estate Administration software?</w:t>
      </w:r>
    </w:p>
    <w:p w:rsidR="00677608" w:rsidRDefault="00677608" w:rsidP="009875AE">
      <w:pPr>
        <w:pStyle w:val="TRWPTxt"/>
      </w:pPr>
      <w:r w:rsidRPr="00874713">
        <w:rPr>
          <w:b/>
        </w:rPr>
        <w:t>A:</w:t>
      </w:r>
      <w:r>
        <w:t xml:space="preserve">  zCalc is the only application directly affected by DMS.  Since that application utilizes various XLS and XLSM files for its functionality, most DMS attempt to “save” or otherwise “relocate” those files as zCalc tries to use them, but they must remain in their original locations.  It is recommended to set up some sort of exception or otherwise prevent the DMS from interfering with zCalc’s normal functionality.</w:t>
      </w:r>
    </w:p>
    <w:p w:rsidR="00677608" w:rsidRDefault="00884B59" w:rsidP="009875AE">
      <w:pPr>
        <w:pStyle w:val="TRWPTxt"/>
      </w:pPr>
      <w:r w:rsidRPr="00874713">
        <w:rPr>
          <w:b/>
        </w:rPr>
        <w:t>Q</w:t>
      </w:r>
      <w:r w:rsidR="00CC57B8">
        <w:rPr>
          <w:b/>
        </w:rPr>
        <w:t>3</w:t>
      </w:r>
      <w:r w:rsidRPr="00874713">
        <w:rPr>
          <w:b/>
        </w:rPr>
        <w:t>:</w:t>
      </w:r>
      <w:r>
        <w:t xml:space="preserve">  A Peer-to-Peer Network is basically “host/workstation” environment.  Why </w:t>
      </w:r>
      <w:r w:rsidR="00D54322">
        <w:t>isn’t it</w:t>
      </w:r>
      <w:r>
        <w:t xml:space="preserve"> supported?</w:t>
      </w:r>
    </w:p>
    <w:p w:rsidR="00884B59" w:rsidRDefault="00884B59" w:rsidP="009875AE">
      <w:pPr>
        <w:pStyle w:val="TRWPTxt"/>
      </w:pPr>
      <w:r w:rsidRPr="00874713">
        <w:rPr>
          <w:b/>
        </w:rPr>
        <w:t>A:</w:t>
      </w:r>
      <w:r>
        <w:t xml:space="preserve">  Peer-to-Peer networks rely on the permissions and stability of the host computer.  The permissions, provided by the computer’s operating system, often require too much fine-tuning </w:t>
      </w:r>
      <w:r w:rsidR="006875CB">
        <w:t xml:space="preserve">(compared to an actual server OS) </w:t>
      </w:r>
      <w:r>
        <w:t>for correct functionality.  Additionally, Anti-virus present on both host and secondary systems combined can impact functionality of the programs as they are designed for “workstation-specific” scanning and aren’t usually intended to function as a “server” of files or programs.  Last, if the host computer gets shut down, restarts, etc while the programs are in use, this can cause problems for the secondary systems’ access of any installed applications.</w:t>
      </w:r>
    </w:p>
    <w:p w:rsidR="00365F2E" w:rsidRDefault="00365F2E" w:rsidP="009875AE">
      <w:pPr>
        <w:pStyle w:val="TRWPTxt"/>
      </w:pPr>
      <w:r w:rsidRPr="00874713">
        <w:rPr>
          <w:b/>
        </w:rPr>
        <w:t>Q</w:t>
      </w:r>
      <w:r w:rsidR="00CC57B8">
        <w:rPr>
          <w:b/>
        </w:rPr>
        <w:t>4</w:t>
      </w:r>
      <w:r w:rsidRPr="00874713">
        <w:rPr>
          <w:b/>
        </w:rPr>
        <w:t>:</w:t>
      </w:r>
      <w:r>
        <w:t xml:space="preserve">  The hard disk requirement states “</w:t>
      </w:r>
      <w:r w:rsidRPr="00365F2E">
        <w:t>Minimum 50MB hard-disk space per application per year and 1MB per Client.</w:t>
      </w:r>
      <w:r>
        <w:t>”  What is the maximum requirement?</w:t>
      </w:r>
    </w:p>
    <w:p w:rsidR="00C23574" w:rsidRDefault="00365F2E" w:rsidP="009875AE">
      <w:pPr>
        <w:pStyle w:val="TRWPTxt"/>
      </w:pPr>
      <w:r w:rsidRPr="00874713">
        <w:rPr>
          <w:b/>
        </w:rPr>
        <w:t>A:</w:t>
      </w:r>
      <w:r>
        <w:t xml:space="preserve">  There is no foreseeable maximum requirement due to the fluid nature of the client data</w:t>
      </w:r>
      <w:r w:rsidR="00C23574">
        <w:t xml:space="preserve"> </w:t>
      </w:r>
      <w:r>
        <w:t xml:space="preserve">files being </w:t>
      </w:r>
      <w:r w:rsidR="009E7519">
        <w:t>created and edited during use of the programs</w:t>
      </w:r>
      <w:r>
        <w:t xml:space="preserve">.  Below is a table with some examples of client usage, but keep in mind these figures are </w:t>
      </w:r>
      <w:r w:rsidR="00C23574">
        <w:t xml:space="preserve">estimations </w:t>
      </w:r>
      <w:r>
        <w:t>and may differ based on other data inputs.</w:t>
      </w:r>
      <w:r w:rsidR="00C23574">
        <w:t xml:space="preserve">  </w:t>
      </w:r>
    </w:p>
    <w:p w:rsidR="00365F2E" w:rsidRDefault="00C23574" w:rsidP="009875AE">
      <w:pPr>
        <w:pStyle w:val="TRWPTxt"/>
      </w:pPr>
      <w:r w:rsidRPr="00C23574">
        <w:rPr>
          <w:i/>
        </w:rPr>
        <w:t>Transaction versus file size note</w:t>
      </w:r>
      <w:r>
        <w:t>:  File size increases versus the number of transactions entered is NOT directly proportional.  Numbers listed are estimated examples.</w:t>
      </w:r>
    </w:p>
    <w:tbl>
      <w:tblPr>
        <w:tblStyle w:val="TableGrid"/>
        <w:tblW w:w="0" w:type="auto"/>
        <w:tblLook w:val="04A0" w:firstRow="1" w:lastRow="0" w:firstColumn="1" w:lastColumn="0" w:noHBand="0" w:noVBand="1"/>
      </w:tblPr>
      <w:tblGrid>
        <w:gridCol w:w="2628"/>
        <w:gridCol w:w="1260"/>
        <w:gridCol w:w="1515"/>
        <w:gridCol w:w="4155"/>
      </w:tblGrid>
      <w:tr w:rsidR="006875CB" w:rsidTr="00077A36">
        <w:tc>
          <w:tcPr>
            <w:tcW w:w="2628" w:type="dxa"/>
            <w:vAlign w:val="center"/>
          </w:tcPr>
          <w:p w:rsidR="006875CB" w:rsidRPr="006875CB" w:rsidRDefault="006875CB" w:rsidP="00077A36">
            <w:pPr>
              <w:pStyle w:val="TRWPTxt"/>
              <w:rPr>
                <w:b/>
              </w:rPr>
            </w:pPr>
            <w:r w:rsidRPr="006875CB">
              <w:rPr>
                <w:b/>
              </w:rPr>
              <w:t>Application</w:t>
            </w:r>
          </w:p>
        </w:tc>
        <w:tc>
          <w:tcPr>
            <w:tcW w:w="1260" w:type="dxa"/>
            <w:vAlign w:val="center"/>
          </w:tcPr>
          <w:p w:rsidR="006875CB" w:rsidRPr="006875CB" w:rsidRDefault="006875CB" w:rsidP="00077A36">
            <w:pPr>
              <w:pStyle w:val="TRWPTxt"/>
              <w:rPr>
                <w:b/>
              </w:rPr>
            </w:pPr>
            <w:r w:rsidRPr="006875CB">
              <w:rPr>
                <w:b/>
              </w:rPr>
              <w:t>New Client</w:t>
            </w:r>
          </w:p>
        </w:tc>
        <w:tc>
          <w:tcPr>
            <w:tcW w:w="1515" w:type="dxa"/>
            <w:vAlign w:val="center"/>
          </w:tcPr>
          <w:p w:rsidR="006875CB" w:rsidRPr="006875CB" w:rsidRDefault="006875CB" w:rsidP="00077A36">
            <w:pPr>
              <w:pStyle w:val="TRWPTxt"/>
              <w:rPr>
                <w:b/>
              </w:rPr>
            </w:pPr>
            <w:r w:rsidRPr="006875CB">
              <w:rPr>
                <w:b/>
              </w:rPr>
              <w:t>Active Client</w:t>
            </w:r>
          </w:p>
        </w:tc>
        <w:tc>
          <w:tcPr>
            <w:tcW w:w="4155" w:type="dxa"/>
            <w:vAlign w:val="center"/>
          </w:tcPr>
          <w:p w:rsidR="006875CB" w:rsidRPr="004244B8" w:rsidRDefault="004244B8" w:rsidP="00077A36">
            <w:pPr>
              <w:pStyle w:val="TRWPTxt"/>
              <w:rPr>
                <w:b/>
              </w:rPr>
            </w:pPr>
            <w:r w:rsidRPr="004244B8">
              <w:rPr>
                <w:b/>
              </w:rPr>
              <w:t>Notes</w:t>
            </w:r>
          </w:p>
        </w:tc>
      </w:tr>
      <w:tr w:rsidR="006875CB" w:rsidTr="00077A36">
        <w:tc>
          <w:tcPr>
            <w:tcW w:w="2628" w:type="dxa"/>
            <w:vAlign w:val="center"/>
          </w:tcPr>
          <w:p w:rsidR="006875CB" w:rsidRDefault="006875CB" w:rsidP="00077A36">
            <w:pPr>
              <w:pStyle w:val="TRWPTxt"/>
            </w:pPr>
            <w:r>
              <w:t>FAS Accounting</w:t>
            </w:r>
          </w:p>
        </w:tc>
        <w:tc>
          <w:tcPr>
            <w:tcW w:w="1260" w:type="dxa"/>
            <w:vAlign w:val="center"/>
          </w:tcPr>
          <w:p w:rsidR="006875CB" w:rsidRDefault="006875CB" w:rsidP="00077A36">
            <w:pPr>
              <w:pStyle w:val="TRWPTxt"/>
            </w:pPr>
            <w:r>
              <w:t>225KB</w:t>
            </w:r>
          </w:p>
        </w:tc>
        <w:tc>
          <w:tcPr>
            <w:tcW w:w="1515" w:type="dxa"/>
            <w:vAlign w:val="center"/>
          </w:tcPr>
          <w:p w:rsidR="006875CB" w:rsidRDefault="006875CB" w:rsidP="00077A36">
            <w:pPr>
              <w:pStyle w:val="TRWPTxt"/>
            </w:pPr>
            <w:r>
              <w:t>2MB</w:t>
            </w:r>
          </w:p>
        </w:tc>
        <w:tc>
          <w:tcPr>
            <w:tcW w:w="4155" w:type="dxa"/>
            <w:vAlign w:val="center"/>
          </w:tcPr>
          <w:p w:rsidR="006875CB" w:rsidRDefault="006E230B" w:rsidP="00077A36">
            <w:pPr>
              <w:pStyle w:val="TRWPTxt"/>
            </w:pPr>
            <w:r>
              <w:t xml:space="preserve">550KB client has 100 transactions.  2MB client has 1000 transactions.  6MB client has 3000 transactions. </w:t>
            </w:r>
            <w:r w:rsidR="00C23574">
              <w:t>See Transaction note above.</w:t>
            </w:r>
            <w:r>
              <w:t xml:space="preserve"> </w:t>
            </w:r>
          </w:p>
        </w:tc>
      </w:tr>
      <w:tr w:rsidR="006875CB" w:rsidTr="00077A36">
        <w:tc>
          <w:tcPr>
            <w:tcW w:w="2628" w:type="dxa"/>
            <w:vAlign w:val="center"/>
          </w:tcPr>
          <w:p w:rsidR="006875CB" w:rsidRDefault="006875CB" w:rsidP="00077A36">
            <w:pPr>
              <w:pStyle w:val="TRWPTxt"/>
            </w:pPr>
            <w:r>
              <w:t>Federal 706 (Estate Tax)</w:t>
            </w:r>
          </w:p>
        </w:tc>
        <w:tc>
          <w:tcPr>
            <w:tcW w:w="1260" w:type="dxa"/>
            <w:vAlign w:val="center"/>
          </w:tcPr>
          <w:p w:rsidR="006875CB" w:rsidRDefault="006875CB" w:rsidP="00077A36">
            <w:pPr>
              <w:pStyle w:val="TRWPTxt"/>
            </w:pPr>
            <w:r>
              <w:t>404KB</w:t>
            </w:r>
          </w:p>
        </w:tc>
        <w:tc>
          <w:tcPr>
            <w:tcW w:w="1515" w:type="dxa"/>
            <w:vAlign w:val="center"/>
          </w:tcPr>
          <w:p w:rsidR="006875CB" w:rsidRDefault="006875CB" w:rsidP="00077A36">
            <w:pPr>
              <w:pStyle w:val="TRWPTxt"/>
            </w:pPr>
            <w:r>
              <w:t>1.12MB</w:t>
            </w:r>
          </w:p>
        </w:tc>
        <w:tc>
          <w:tcPr>
            <w:tcW w:w="4155" w:type="dxa"/>
            <w:vAlign w:val="center"/>
          </w:tcPr>
          <w:p w:rsidR="006875CB" w:rsidRDefault="006E230B" w:rsidP="00077A36">
            <w:pPr>
              <w:pStyle w:val="TRWPTxt"/>
            </w:pPr>
            <w:r>
              <w:t xml:space="preserve">Different state estate selections can also add </w:t>
            </w:r>
            <w:r w:rsidR="00BB085D">
              <w:t xml:space="preserve">minimal </w:t>
            </w:r>
            <w:r>
              <w:t>size due to differing processing requirements.</w:t>
            </w:r>
            <w:r w:rsidR="009E0A0C">
              <w:t xml:space="preserve">  See also transaction notes</w:t>
            </w:r>
            <w:r w:rsidR="00C23574">
              <w:t>.</w:t>
            </w:r>
            <w:r w:rsidR="009E0A0C">
              <w:t xml:space="preserve"> </w:t>
            </w:r>
          </w:p>
        </w:tc>
      </w:tr>
      <w:tr w:rsidR="006875CB" w:rsidTr="00077A36">
        <w:tc>
          <w:tcPr>
            <w:tcW w:w="2628" w:type="dxa"/>
            <w:vAlign w:val="center"/>
          </w:tcPr>
          <w:p w:rsidR="006875CB" w:rsidRDefault="006875CB" w:rsidP="00077A36">
            <w:pPr>
              <w:pStyle w:val="TRWPTxt"/>
            </w:pPr>
            <w:r>
              <w:t>Federal 709 (Gift Tax)</w:t>
            </w:r>
          </w:p>
        </w:tc>
        <w:tc>
          <w:tcPr>
            <w:tcW w:w="1260" w:type="dxa"/>
            <w:vAlign w:val="center"/>
          </w:tcPr>
          <w:p w:rsidR="006875CB" w:rsidRDefault="006875CB" w:rsidP="00077A36">
            <w:pPr>
              <w:pStyle w:val="TRWPTxt"/>
            </w:pPr>
            <w:r>
              <w:t>80KB</w:t>
            </w:r>
          </w:p>
        </w:tc>
        <w:tc>
          <w:tcPr>
            <w:tcW w:w="1515" w:type="dxa"/>
            <w:vAlign w:val="center"/>
          </w:tcPr>
          <w:p w:rsidR="006875CB" w:rsidRDefault="006875CB" w:rsidP="00077A36">
            <w:pPr>
              <w:pStyle w:val="TRWPTxt"/>
            </w:pPr>
            <w:r>
              <w:t>83KB</w:t>
            </w:r>
          </w:p>
        </w:tc>
        <w:tc>
          <w:tcPr>
            <w:tcW w:w="4155" w:type="dxa"/>
            <w:vAlign w:val="center"/>
          </w:tcPr>
          <w:p w:rsidR="006875CB" w:rsidRDefault="009E0A0C" w:rsidP="00077A36">
            <w:pPr>
              <w:pStyle w:val="TRWPTxt"/>
            </w:pPr>
            <w:r>
              <w:t>Approximate p</w:t>
            </w:r>
            <w:r w:rsidR="006E230B">
              <w:t>er Filing Year.  Additional years will increase overall client folder size.</w:t>
            </w:r>
          </w:p>
        </w:tc>
      </w:tr>
      <w:tr w:rsidR="006875CB" w:rsidTr="00077A36">
        <w:tc>
          <w:tcPr>
            <w:tcW w:w="2628" w:type="dxa"/>
            <w:vAlign w:val="center"/>
          </w:tcPr>
          <w:p w:rsidR="006875CB" w:rsidRDefault="006875CB" w:rsidP="00077A36">
            <w:pPr>
              <w:pStyle w:val="TRWPTxt"/>
            </w:pPr>
            <w:r>
              <w:t>Federal 1041 (Fiduciary Income Tax)</w:t>
            </w:r>
          </w:p>
        </w:tc>
        <w:tc>
          <w:tcPr>
            <w:tcW w:w="1260" w:type="dxa"/>
            <w:vAlign w:val="center"/>
          </w:tcPr>
          <w:p w:rsidR="006875CB" w:rsidRDefault="006875CB" w:rsidP="00077A36">
            <w:pPr>
              <w:pStyle w:val="TRWPTxt"/>
            </w:pPr>
            <w:r>
              <w:t>289KB</w:t>
            </w:r>
          </w:p>
        </w:tc>
        <w:tc>
          <w:tcPr>
            <w:tcW w:w="1515" w:type="dxa"/>
            <w:vAlign w:val="center"/>
          </w:tcPr>
          <w:p w:rsidR="006875CB" w:rsidRDefault="006875CB" w:rsidP="00077A36">
            <w:pPr>
              <w:pStyle w:val="TRWPTxt"/>
            </w:pPr>
            <w:r>
              <w:t>1.36MB</w:t>
            </w:r>
          </w:p>
        </w:tc>
        <w:tc>
          <w:tcPr>
            <w:tcW w:w="4155" w:type="dxa"/>
            <w:vAlign w:val="center"/>
          </w:tcPr>
          <w:p w:rsidR="006875CB" w:rsidRDefault="009E0A0C" w:rsidP="00077A36">
            <w:pPr>
              <w:pStyle w:val="TRWPTxt"/>
            </w:pPr>
            <w:r>
              <w:t>Approximate p</w:t>
            </w:r>
            <w:r w:rsidR="006E230B">
              <w:t>er Filing Year.  Additional years</w:t>
            </w:r>
            <w:r w:rsidR="00C23574">
              <w:t>, state returns,</w:t>
            </w:r>
            <w:r w:rsidR="006E230B">
              <w:t xml:space="preserve"> </w:t>
            </w:r>
            <w:r w:rsidR="009E7519">
              <w:t xml:space="preserve">and e-filing </w:t>
            </w:r>
            <w:r w:rsidR="00C23574">
              <w:t xml:space="preserve">(including PDF attachments) </w:t>
            </w:r>
            <w:r w:rsidR="006E230B">
              <w:t>will increase overall client folder size.</w:t>
            </w:r>
          </w:p>
        </w:tc>
      </w:tr>
      <w:tr w:rsidR="006875CB" w:rsidTr="00077A36">
        <w:tc>
          <w:tcPr>
            <w:tcW w:w="2628" w:type="dxa"/>
            <w:vAlign w:val="center"/>
          </w:tcPr>
          <w:p w:rsidR="006875CB" w:rsidRDefault="006E230B" w:rsidP="00077A36">
            <w:pPr>
              <w:pStyle w:val="TRWPTxt"/>
            </w:pPr>
            <w:r>
              <w:t>zCalc Tool Box</w:t>
            </w:r>
          </w:p>
        </w:tc>
        <w:tc>
          <w:tcPr>
            <w:tcW w:w="1260" w:type="dxa"/>
            <w:vAlign w:val="center"/>
          </w:tcPr>
          <w:p w:rsidR="006875CB" w:rsidRDefault="006E230B" w:rsidP="00077A36">
            <w:pPr>
              <w:pStyle w:val="TRWPTxt"/>
            </w:pPr>
            <w:r>
              <w:t>11KB</w:t>
            </w:r>
          </w:p>
        </w:tc>
        <w:tc>
          <w:tcPr>
            <w:tcW w:w="1515" w:type="dxa"/>
            <w:vAlign w:val="center"/>
          </w:tcPr>
          <w:p w:rsidR="006875CB" w:rsidRDefault="006E230B" w:rsidP="00077A36">
            <w:pPr>
              <w:pStyle w:val="TRWPTxt"/>
            </w:pPr>
            <w:r>
              <w:t>45KB</w:t>
            </w:r>
          </w:p>
        </w:tc>
        <w:tc>
          <w:tcPr>
            <w:tcW w:w="4155" w:type="dxa"/>
            <w:vAlign w:val="center"/>
          </w:tcPr>
          <w:p w:rsidR="006875CB" w:rsidRDefault="006E230B" w:rsidP="00077A36">
            <w:pPr>
              <w:pStyle w:val="TRWPTxt"/>
            </w:pPr>
            <w:r>
              <w:t>Additional planners populated with entries will increase the client size.</w:t>
            </w:r>
          </w:p>
        </w:tc>
      </w:tr>
    </w:tbl>
    <w:p w:rsidR="006875CB" w:rsidRDefault="006875CB" w:rsidP="009875AE">
      <w:pPr>
        <w:pStyle w:val="TRWPTxt"/>
      </w:pPr>
    </w:p>
    <w:p w:rsidR="006875CB" w:rsidRDefault="00BB085D" w:rsidP="009875AE">
      <w:pPr>
        <w:pStyle w:val="TRWPTxt"/>
      </w:pPr>
      <w:bookmarkStart w:id="7" w:name="_Hlk524535186"/>
      <w:r>
        <w:lastRenderedPageBreak/>
        <w:t xml:space="preserve">As an </w:t>
      </w:r>
      <w:r w:rsidR="009E7519">
        <w:t xml:space="preserve">extreme </w:t>
      </w:r>
      <w:r>
        <w:t>example, the full install of all ONESOURCE Trust &amp; Estate Administration programs</w:t>
      </w:r>
      <w:r w:rsidR="00A168FC">
        <w:t xml:space="preserve">, </w:t>
      </w:r>
      <w:r>
        <w:t>including all years, all state modules</w:t>
      </w:r>
      <w:r w:rsidR="00A168FC">
        <w:t xml:space="preserve">, </w:t>
      </w:r>
      <w:r>
        <w:t>all Sample client data</w:t>
      </w:r>
      <w:r w:rsidR="0037420B">
        <w:t xml:space="preserve"> </w:t>
      </w:r>
      <w:r>
        <w:t>files</w:t>
      </w:r>
      <w:r w:rsidR="00A168FC">
        <w:t xml:space="preserve"> for re</w:t>
      </w:r>
      <w:r w:rsidR="0037420B">
        <w:t>spective years (approximately 98</w:t>
      </w:r>
      <w:r w:rsidR="00A168FC">
        <w:t xml:space="preserve"> samples) and all utility applications (Archive Manager, Evaluations Interface, and Common Assets)</w:t>
      </w:r>
      <w:r>
        <w:t xml:space="preserve"> from 2004 to </w:t>
      </w:r>
      <w:r w:rsidR="00C23574">
        <w:t>December</w:t>
      </w:r>
      <w:r w:rsidR="009E7519">
        <w:t xml:space="preserve"> 2016 </w:t>
      </w:r>
      <w:r>
        <w:t xml:space="preserve">weighs in around </w:t>
      </w:r>
      <w:r w:rsidR="00C23574">
        <w:t>3</w:t>
      </w:r>
      <w:r w:rsidR="00E34A74">
        <w:t>.</w:t>
      </w:r>
      <w:r w:rsidR="00C23574">
        <w:t>1</w:t>
      </w:r>
      <w:r>
        <w:t>GB.</w:t>
      </w:r>
    </w:p>
    <w:bookmarkEnd w:id="7"/>
    <w:p w:rsidR="00BF083A" w:rsidRDefault="00BF083A" w:rsidP="009875AE">
      <w:pPr>
        <w:pStyle w:val="TRWPTxt"/>
      </w:pPr>
      <w:r w:rsidRPr="00874713">
        <w:rPr>
          <w:b/>
        </w:rPr>
        <w:t>Q</w:t>
      </w:r>
      <w:r w:rsidR="00CC57B8">
        <w:rPr>
          <w:b/>
        </w:rPr>
        <w:t>5</w:t>
      </w:r>
      <w:r w:rsidRPr="00874713">
        <w:rPr>
          <w:b/>
        </w:rPr>
        <w:t>:</w:t>
      </w:r>
      <w:r>
        <w:t xml:space="preserve">  What does the statement “Windows </w:t>
      </w:r>
      <w:r w:rsidR="00A64F83">
        <w:t xml:space="preserve">7, </w:t>
      </w:r>
      <w:r w:rsidR="00862B91">
        <w:t>8</w:t>
      </w:r>
      <w:r w:rsidR="00033FE9">
        <w:t>.1, Windows 10,</w:t>
      </w:r>
      <w:r w:rsidR="00862B91">
        <w:t xml:space="preserve"> </w:t>
      </w:r>
      <w:r w:rsidR="00A64F83">
        <w:t>are tested and function, but some features may require elevated permissions via Run As Administrator</w:t>
      </w:r>
      <w:r>
        <w:t>” entail?</w:t>
      </w:r>
    </w:p>
    <w:p w:rsidR="00BF083A" w:rsidRDefault="00BF083A" w:rsidP="00BF083A">
      <w:pPr>
        <w:pStyle w:val="TRWPTxt"/>
      </w:pPr>
      <w:r w:rsidRPr="00874713">
        <w:rPr>
          <w:b/>
        </w:rPr>
        <w:t>A:</w:t>
      </w:r>
      <w:r>
        <w:t xml:space="preserve">  </w:t>
      </w:r>
      <w:r w:rsidR="00033FE9">
        <w:t>Windows 7 (and newer versions of Windows)</w:t>
      </w:r>
      <w:r>
        <w:t xml:space="preserve"> have special requirements (due to their heightened security settings) when activating certain features in our programs.</w:t>
      </w:r>
    </w:p>
    <w:p w:rsidR="00BF083A" w:rsidRDefault="00BF083A" w:rsidP="00BF083A">
      <w:pPr>
        <w:pStyle w:val="TRWPTxt"/>
      </w:pPr>
      <w:r>
        <w:t>Registering (only needs to be done once</w:t>
      </w:r>
      <w:r w:rsidR="0037420B">
        <w:t xml:space="preserve"> per program</w:t>
      </w:r>
      <w:r>
        <w:t>, generally), Checking for Updates, most processes that require the program to communicate with the internet (including getting Securities Pricing through our Evaluations Interface and 1041 E-Filing) will all trigger the User Account Control.</w:t>
      </w:r>
    </w:p>
    <w:p w:rsidR="00BF083A" w:rsidRDefault="00BF083A" w:rsidP="00BF083A">
      <w:pPr>
        <w:pStyle w:val="TRWPTxt"/>
      </w:pPr>
      <w:r>
        <w:t>This means you will get a box that says "Are you sure you want to allow this program to make changes to your computer?" and you would want to say "Yes."</w:t>
      </w:r>
    </w:p>
    <w:p w:rsidR="00BF083A" w:rsidRDefault="00BF083A" w:rsidP="00BF083A">
      <w:pPr>
        <w:pStyle w:val="TRWPTxt"/>
      </w:pPr>
      <w:r>
        <w:t>In some instances (most often Registration and Check for Updates) it's also necessary to run the program with "elevated permissions" by right-clicking on the program icon and choosing "Run As Administrator."</w:t>
      </w:r>
    </w:p>
    <w:p w:rsidR="00BF083A" w:rsidRDefault="00BF083A" w:rsidP="00BF083A">
      <w:pPr>
        <w:pStyle w:val="TRWPTxt"/>
      </w:pPr>
      <w:r>
        <w:t xml:space="preserve">We have no other method by which to bypass these security checks. </w:t>
      </w:r>
    </w:p>
    <w:p w:rsidR="00612CFC" w:rsidRDefault="00612CFC" w:rsidP="00BF083A">
      <w:pPr>
        <w:pStyle w:val="TRWPTxt"/>
      </w:pPr>
      <w:r w:rsidRPr="00612CFC">
        <w:rPr>
          <w:b/>
        </w:rPr>
        <w:t>Q</w:t>
      </w:r>
      <w:r w:rsidR="00CC57B8">
        <w:rPr>
          <w:b/>
        </w:rPr>
        <w:t>6</w:t>
      </w:r>
      <w:r>
        <w:t xml:space="preserve">:  Why are displays with HD Aspect Ratio not supported?  </w:t>
      </w:r>
    </w:p>
    <w:p w:rsidR="00612CFC" w:rsidRDefault="00612CFC" w:rsidP="00BF083A">
      <w:pPr>
        <w:pStyle w:val="TRWPTxt"/>
      </w:pPr>
      <w:r w:rsidRPr="00612CFC">
        <w:rPr>
          <w:b/>
        </w:rPr>
        <w:t>A</w:t>
      </w:r>
      <w:r>
        <w:t xml:space="preserve">:  At this time, our tax form (706 Federal and State Estate and Inheritance Tax, 1041 Fiduciary Tax, and 709 Gift Tax) products cannot support </w:t>
      </w:r>
      <w:r w:rsidR="006C0C40">
        <w:t>wide</w:t>
      </w:r>
      <w:r>
        <w:t xml:space="preserve"> aspect ratio resolution on computer systems whose native display resolution is an HD resolution.  The font size will be out of proportion to the rest of the form image on screen.  Typically laptops will be shipped with HD screen capability.  In some cases, using an external monitor </w:t>
      </w:r>
      <w:r w:rsidR="00333ED2">
        <w:t xml:space="preserve">set to a resolution that is NOT an HD aspect ratio resolution </w:t>
      </w:r>
      <w:r>
        <w:t xml:space="preserve">may alleviate the issue. </w:t>
      </w:r>
    </w:p>
    <w:p w:rsidR="00184F98" w:rsidRPr="00184F98" w:rsidRDefault="00184F98" w:rsidP="00184F98">
      <w:pPr>
        <w:pStyle w:val="TRWPTxt"/>
      </w:pPr>
      <w:r w:rsidRPr="00184F98">
        <w:rPr>
          <w:b/>
        </w:rPr>
        <w:t>Q</w:t>
      </w:r>
      <w:r w:rsidR="00CC57B8">
        <w:rPr>
          <w:b/>
        </w:rPr>
        <w:t>7</w:t>
      </w:r>
      <w:r w:rsidRPr="00184F98">
        <w:rPr>
          <w:b/>
        </w:rPr>
        <w:t>:</w:t>
      </w:r>
      <w:r w:rsidR="00AC4D06">
        <w:t xml:space="preserve">  Why are Windows XP and</w:t>
      </w:r>
      <w:r w:rsidRPr="00184F98">
        <w:t xml:space="preserve"> Windows Vista no </w:t>
      </w:r>
      <w:r w:rsidR="00EE40BB">
        <w:t>longer supported</w:t>
      </w:r>
      <w:r w:rsidRPr="00184F98">
        <w:t xml:space="preserve">? </w:t>
      </w:r>
    </w:p>
    <w:p w:rsidR="00184F98" w:rsidRPr="00184F98" w:rsidRDefault="00184F98" w:rsidP="00184F98">
      <w:pPr>
        <w:pStyle w:val="TRWPTxt"/>
      </w:pPr>
      <w:bookmarkStart w:id="8" w:name="_Hlk524535207"/>
      <w:r w:rsidRPr="00184F98">
        <w:rPr>
          <w:b/>
        </w:rPr>
        <w:t>A:</w:t>
      </w:r>
      <w:r w:rsidRPr="00184F98">
        <w:t xml:space="preserve">  </w:t>
      </w:r>
      <w:r w:rsidR="00AC4D06">
        <w:t>Windows XP is no longer supported by Microsoft as of April 8</w:t>
      </w:r>
      <w:r w:rsidR="00AC4D06" w:rsidRPr="00AC4D06">
        <w:rPr>
          <w:vertAlign w:val="superscript"/>
        </w:rPr>
        <w:t>th</w:t>
      </w:r>
      <w:r w:rsidR="00AC4D06">
        <w:t xml:space="preserve">, 2014.  </w:t>
      </w:r>
      <w:r w:rsidR="00AC4D06">
        <w:br/>
      </w:r>
      <w:r w:rsidRPr="00184F98">
        <w:t xml:space="preserve">Microsoft </w:t>
      </w:r>
      <w:r w:rsidR="00EE40BB">
        <w:t xml:space="preserve">ceased </w:t>
      </w:r>
      <w:r w:rsidRPr="00184F98">
        <w:t xml:space="preserve">security updates for Windows Vista on April 11, 2017.  ONESOURCE will no longer be testing our products on </w:t>
      </w:r>
      <w:r w:rsidR="00AC4D06">
        <w:t xml:space="preserve">either </w:t>
      </w:r>
      <w:r w:rsidRPr="00184F98">
        <w:t>operating system</w:t>
      </w:r>
      <w:r>
        <w:t>.</w:t>
      </w:r>
    </w:p>
    <w:bookmarkEnd w:id="8"/>
    <w:p w:rsidR="00184F98" w:rsidRDefault="00184F98" w:rsidP="00184F98">
      <w:pPr>
        <w:pStyle w:val="TRWPTxt"/>
      </w:pPr>
      <w:r w:rsidRPr="00874713">
        <w:rPr>
          <w:b/>
        </w:rPr>
        <w:t>Q</w:t>
      </w:r>
      <w:r w:rsidR="00CC57B8">
        <w:rPr>
          <w:b/>
        </w:rPr>
        <w:t>8</w:t>
      </w:r>
      <w:r w:rsidRPr="00874713">
        <w:rPr>
          <w:b/>
        </w:rPr>
        <w:t>:</w:t>
      </w:r>
      <w:r>
        <w:t xml:space="preserve">  Why is Windows 8 no </w:t>
      </w:r>
      <w:r w:rsidR="00612CFC">
        <w:t xml:space="preserve">longer being tested? </w:t>
      </w:r>
    </w:p>
    <w:p w:rsidR="00184F98" w:rsidRDefault="00184F98" w:rsidP="00184F98">
      <w:pPr>
        <w:pStyle w:val="TRWPTxt"/>
      </w:pPr>
      <w:r w:rsidRPr="00874713">
        <w:rPr>
          <w:b/>
        </w:rPr>
        <w:t>A:</w:t>
      </w:r>
      <w:r>
        <w:t xml:space="preserve">  Microsoft ceased security updates for Windows 8 on January 12, 2016.  Their recommendation is for Windows 8 users to update to Windows 8.1 or 10.  ONESOURCE will no longer be testing our products on the Windows 8 operating system.</w:t>
      </w:r>
    </w:p>
    <w:p w:rsidR="00534601" w:rsidRDefault="00534601" w:rsidP="00534601">
      <w:pPr>
        <w:pStyle w:val="TRWPTxt"/>
      </w:pPr>
      <w:r w:rsidRPr="00874713">
        <w:rPr>
          <w:b/>
        </w:rPr>
        <w:t>Q</w:t>
      </w:r>
      <w:r w:rsidR="00CC57B8">
        <w:rPr>
          <w:b/>
        </w:rPr>
        <w:t>9</w:t>
      </w:r>
      <w:r w:rsidRPr="00874713">
        <w:rPr>
          <w:b/>
        </w:rPr>
        <w:t>:</w:t>
      </w:r>
      <w:r>
        <w:t xml:space="preserve">  Why is Internet Explorer 11 now required?  </w:t>
      </w:r>
    </w:p>
    <w:p w:rsidR="00534601" w:rsidRDefault="00534601" w:rsidP="00534601">
      <w:pPr>
        <w:pStyle w:val="TRWPTxt"/>
      </w:pPr>
      <w:r w:rsidRPr="00874713">
        <w:rPr>
          <w:b/>
        </w:rPr>
        <w:t>A:</w:t>
      </w:r>
      <w:r>
        <w:t xml:space="preserve">  Microsoft ceased supporting older versions of Internet Explorer on their “currently active” operating systems.  Windows 7 and 8.1 will require Internet Explorer 11.  Windows Vista will only support Internet Explorer 9.  IE 9 under Vista is sufficient for e-filing </w:t>
      </w:r>
      <w:r w:rsidR="009E7519">
        <w:t xml:space="preserve">for 1041 tax year 2014 </w:t>
      </w:r>
      <w:r>
        <w:t xml:space="preserve">however will no longer be tested </w:t>
      </w:r>
      <w:r w:rsidR="00184F98">
        <w:t xml:space="preserve">or supported </w:t>
      </w:r>
      <w:r>
        <w:t xml:space="preserve">by ONESOURCE.  Please see this link for more details:  </w:t>
      </w:r>
      <w:hyperlink r:id="rId14" w:anchor="gp/Microsoft-Internet-Explorer" w:history="1">
        <w:r w:rsidRPr="00BC54C1">
          <w:rPr>
            <w:rStyle w:val="Hyperlink"/>
            <w:rFonts w:cs="Arial"/>
          </w:rPr>
          <w:t>https://support.microsoft.com/en-us/lifecycle#gp/Microsoft-Internet-Explorer</w:t>
        </w:r>
      </w:hyperlink>
      <w:r>
        <w:t xml:space="preserve"> </w:t>
      </w:r>
    </w:p>
    <w:p w:rsidR="00AC60A5" w:rsidRDefault="00AC60A5" w:rsidP="00AC60A5">
      <w:pPr>
        <w:pStyle w:val="TRWPTxt"/>
      </w:pPr>
      <w:bookmarkStart w:id="9" w:name="_Hlk524536147"/>
      <w:r w:rsidRPr="00AC60A5">
        <w:rPr>
          <w:b/>
        </w:rPr>
        <w:t>Q</w:t>
      </w:r>
      <w:r>
        <w:rPr>
          <w:b/>
        </w:rPr>
        <w:t>1</w:t>
      </w:r>
      <w:r w:rsidR="0067551B">
        <w:rPr>
          <w:b/>
        </w:rPr>
        <w:t>0</w:t>
      </w:r>
      <w:r>
        <w:t xml:space="preserve">:  </w:t>
      </w:r>
      <w:hyperlink r:id="rId15" w:history="1">
        <w:r w:rsidRPr="00AC60A5">
          <w:rPr>
            <w:rStyle w:val="Hyperlink"/>
            <w:rFonts w:cs="Arial"/>
          </w:rPr>
          <w:t>Office 2007 has reached End of Life</w:t>
        </w:r>
      </w:hyperlink>
      <w:r>
        <w:t xml:space="preserve"> and is no longer supported by Microsoft.  How can ONESOURCE continue to support Office 2007?</w:t>
      </w:r>
    </w:p>
    <w:p w:rsidR="00AC60A5" w:rsidRDefault="00AC60A5" w:rsidP="00AC60A5">
      <w:pPr>
        <w:pStyle w:val="TRWPTxt"/>
      </w:pPr>
      <w:r w:rsidRPr="00AC60A5">
        <w:rPr>
          <w:b/>
        </w:rPr>
        <w:t>A</w:t>
      </w:r>
      <w:r>
        <w:t>:  The zCalc Tool Box / Estate Planner Product was developed with Office 2007 compatibility and is still expected to function.  However with Microsoft no longer supporting Office 2007, the 2018 release of zCalc will no longer be tested or supported to be used with Office 2007.</w:t>
      </w:r>
      <w:bookmarkEnd w:id="9"/>
    </w:p>
    <w:sectPr w:rsidR="00AC60A5" w:rsidSect="00E375D0">
      <w:footerReference w:type="default" r:id="rId16"/>
      <w:pgSz w:w="12240" w:h="15840"/>
      <w:pgMar w:top="1440" w:right="1080" w:bottom="562" w:left="1440" w:header="720" w:footer="230" w:gutter="0"/>
      <w:pgNumType w:start="1"/>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7E7" w:rsidRDefault="00DA57E7">
      <w:r>
        <w:separator/>
      </w:r>
    </w:p>
  </w:endnote>
  <w:endnote w:type="continuationSeparator" w:id="0">
    <w:p w:rsidR="00DA57E7" w:rsidRDefault="00DA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140" w:rsidRPr="00A741BA" w:rsidRDefault="007A1140" w:rsidP="00CF6F45">
    <w:pPr>
      <w:pStyle w:val="Footer"/>
      <w:rPr>
        <w:rFonts w:ascii="Arial" w:hAnsi="Arial" w:cs="Arial"/>
        <w:color w:val="4D4D4D"/>
        <w:sz w:val="20"/>
        <w:szCs w:val="20"/>
      </w:rPr>
    </w:pPr>
    <w:r>
      <w:rPr>
        <w:noProof/>
      </w:rPr>
      <w:drawing>
        <wp:anchor distT="0" distB="0" distL="114300" distR="114300" simplePos="0" relativeHeight="251657728" behindDoc="0" locked="0" layoutInCell="1" allowOverlap="1">
          <wp:simplePos x="0" y="0"/>
          <wp:positionH relativeFrom="column">
            <wp:posOffset>4114800</wp:posOffset>
          </wp:positionH>
          <wp:positionV relativeFrom="page">
            <wp:posOffset>8755380</wp:posOffset>
          </wp:positionV>
          <wp:extent cx="2130425" cy="483870"/>
          <wp:effectExtent l="19050" t="0" r="3175" b="0"/>
          <wp:wrapNone/>
          <wp:docPr id="1" name="Picture 25" descr="LH_logo600r1i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H_logo600r1idx"/>
                  <pic:cNvPicPr>
                    <a:picLocks noChangeAspect="1" noChangeArrowheads="1"/>
                  </pic:cNvPicPr>
                </pic:nvPicPr>
                <pic:blipFill>
                  <a:blip r:embed="rId1"/>
                  <a:srcRect/>
                  <a:stretch>
                    <a:fillRect/>
                  </a:stretch>
                </pic:blipFill>
                <pic:spPr bwMode="auto">
                  <a:xfrm>
                    <a:off x="0" y="0"/>
                    <a:ext cx="2130425" cy="483870"/>
                  </a:xfrm>
                  <a:prstGeom prst="rect">
                    <a:avLst/>
                  </a:prstGeom>
                  <a:noFill/>
                </pic:spPr>
              </pic:pic>
            </a:graphicData>
          </a:graphic>
        </wp:anchor>
      </w:drawing>
    </w:r>
    <w:r>
      <w:rPr>
        <w:rFonts w:ascii="Arial" w:hAnsi="Arial" w:cs="Arial"/>
        <w:color w:val="4D4D4D"/>
        <w:sz w:val="20"/>
        <w:szCs w:val="20"/>
      </w:rPr>
      <w:t>TRUST &amp; ESTATE ADMINISTRATION</w:t>
    </w:r>
  </w:p>
  <w:p w:rsidR="007A1140" w:rsidRDefault="007A1140" w:rsidP="00CF6F45">
    <w:pPr>
      <w:pStyle w:val="Footer"/>
      <w:rPr>
        <w:rFonts w:ascii="Arial" w:hAnsi="Arial" w:cs="Arial"/>
        <w:color w:val="333333"/>
        <w:sz w:val="16"/>
        <w:szCs w:val="16"/>
      </w:rPr>
    </w:pPr>
  </w:p>
  <w:p w:rsidR="007A1140" w:rsidRDefault="007A1140" w:rsidP="00CF6F45">
    <w:pPr>
      <w:pStyle w:val="Footer"/>
      <w:rPr>
        <w:rFonts w:ascii="Arial" w:hAnsi="Arial" w:cs="Arial"/>
        <w:color w:val="4D4D4D"/>
        <w:sz w:val="16"/>
        <w:szCs w:val="16"/>
      </w:rPr>
    </w:pPr>
    <w:r>
      <w:rPr>
        <w:rFonts w:ascii="Arial" w:hAnsi="Arial" w:cs="Arial"/>
        <w:color w:val="4D4D4D"/>
        <w:sz w:val="16"/>
        <w:szCs w:val="16"/>
      </w:rPr>
      <w:t xml:space="preserve">® </w:t>
    </w:r>
    <w:r w:rsidR="00F406C5">
      <w:rPr>
        <w:rFonts w:ascii="Arial" w:hAnsi="Arial" w:cs="Arial"/>
        <w:color w:val="4D4D4D"/>
        <w:sz w:val="16"/>
        <w:szCs w:val="16"/>
      </w:rPr>
      <w:fldChar w:fldCharType="begin"/>
    </w:r>
    <w:r w:rsidR="00F406C5">
      <w:rPr>
        <w:rFonts w:ascii="Arial" w:hAnsi="Arial" w:cs="Arial"/>
        <w:color w:val="4D4D4D"/>
        <w:sz w:val="16"/>
        <w:szCs w:val="16"/>
      </w:rPr>
      <w:instrText xml:space="preserve"> DATE \@ YYYY </w:instrText>
    </w:r>
    <w:r w:rsidR="00F406C5">
      <w:rPr>
        <w:rFonts w:ascii="Arial" w:hAnsi="Arial" w:cs="Arial"/>
        <w:color w:val="4D4D4D"/>
        <w:sz w:val="16"/>
        <w:szCs w:val="16"/>
      </w:rPr>
      <w:fldChar w:fldCharType="separate"/>
    </w:r>
    <w:r w:rsidR="00B75807">
      <w:rPr>
        <w:rFonts w:ascii="Arial" w:hAnsi="Arial" w:cs="Arial"/>
        <w:noProof/>
        <w:color w:val="4D4D4D"/>
        <w:sz w:val="16"/>
        <w:szCs w:val="16"/>
      </w:rPr>
      <w:t>2018</w:t>
    </w:r>
    <w:r w:rsidR="00F406C5">
      <w:rPr>
        <w:rFonts w:ascii="Arial" w:hAnsi="Arial" w:cs="Arial"/>
        <w:color w:val="4D4D4D"/>
        <w:sz w:val="16"/>
        <w:szCs w:val="16"/>
      </w:rPr>
      <w:fldChar w:fldCharType="end"/>
    </w:r>
    <w:r w:rsidRPr="00A741BA">
      <w:rPr>
        <w:rFonts w:ascii="Arial" w:hAnsi="Arial" w:cs="Arial"/>
        <w:color w:val="4D4D4D"/>
        <w:sz w:val="16"/>
        <w:szCs w:val="16"/>
      </w:rPr>
      <w:t xml:space="preserve"> Thomson Reuters/</w:t>
    </w:r>
    <w:r>
      <w:rPr>
        <w:rFonts w:ascii="Arial" w:hAnsi="Arial" w:cs="Arial"/>
        <w:color w:val="4D4D4D"/>
        <w:sz w:val="16"/>
        <w:szCs w:val="16"/>
      </w:rPr>
      <w:t>ONESOURCE</w:t>
    </w:r>
    <w:r w:rsidRPr="00A741BA">
      <w:rPr>
        <w:rFonts w:ascii="Arial" w:hAnsi="Arial" w:cs="Arial"/>
        <w:color w:val="4D4D4D"/>
        <w:sz w:val="16"/>
        <w:szCs w:val="16"/>
      </w:rPr>
      <w:t>.  All Rights Reserved.</w:t>
    </w:r>
  </w:p>
  <w:p w:rsidR="007A1140" w:rsidRDefault="007A1140" w:rsidP="00CF6F45">
    <w:pPr>
      <w:pStyle w:val="Footer"/>
      <w:rPr>
        <w:rFonts w:ascii="Arial" w:hAnsi="Arial" w:cs="Arial"/>
        <w:color w:val="4D4D4D"/>
        <w:sz w:val="16"/>
        <w:szCs w:val="16"/>
      </w:rPr>
    </w:pPr>
  </w:p>
  <w:p w:rsidR="007A1140" w:rsidRPr="00CF6F45" w:rsidRDefault="00376AE8" w:rsidP="00CF6F45">
    <w:pPr>
      <w:pStyle w:val="Footer"/>
      <w:rPr>
        <w:rFonts w:ascii="Arial" w:hAnsi="Arial" w:cs="Arial"/>
        <w:color w:val="4D4D4D"/>
        <w:sz w:val="16"/>
        <w:szCs w:val="16"/>
      </w:rPr>
    </w:pPr>
    <w:r>
      <w:rPr>
        <w:rFonts w:ascii="Arial" w:hAnsi="Arial" w:cs="Arial"/>
        <w:color w:val="4D4D4D"/>
        <w:sz w:val="16"/>
        <w:szCs w:val="16"/>
      </w:rPr>
      <w:t>2.2</w:t>
    </w:r>
    <w:r w:rsidR="007A1140">
      <w:rPr>
        <w:rFonts w:ascii="Arial" w:hAnsi="Arial" w:cs="Arial"/>
        <w:color w:val="4D4D4D"/>
        <w:sz w:val="16"/>
        <w:szCs w:val="16"/>
      </w:rPr>
      <w:t>.</w:t>
    </w:r>
    <w:r w:rsidR="00F913D4">
      <w:rPr>
        <w:rFonts w:ascii="Arial" w:hAnsi="Arial" w:cs="Arial"/>
        <w:color w:val="4D4D4D"/>
        <w:sz w:val="16"/>
        <w:szCs w:val="16"/>
      </w:rPr>
      <w:t>1</w:t>
    </w:r>
    <w:r w:rsidR="00F406C5">
      <w:rPr>
        <w:rFonts w:ascii="Arial" w:hAnsi="Arial" w:cs="Arial"/>
        <w:color w:val="4D4D4D"/>
        <w:sz w:val="16"/>
        <w:szCs w:val="16"/>
      </w:rPr>
      <w:t>2</w:t>
    </w:r>
    <w:r w:rsidR="0046760E">
      <w:rPr>
        <w:rFonts w:ascii="Arial" w:hAnsi="Arial" w:cs="Arial"/>
        <w:color w:val="4D4D4D"/>
        <w:sz w:val="16"/>
        <w:szCs w:val="16"/>
      </w:rPr>
      <w:t xml:space="preserve"> </w:t>
    </w:r>
    <w:r w:rsidR="001308D5">
      <w:rPr>
        <w:rFonts w:ascii="Arial" w:hAnsi="Arial" w:cs="Arial"/>
        <w:color w:val="4D4D4D"/>
        <w:sz w:val="16"/>
        <w:szCs w:val="16"/>
      </w:rPr>
      <w:t xml:space="preserve"> </w:t>
    </w:r>
    <w:r w:rsidR="001308D5">
      <w:rPr>
        <w:rFonts w:ascii="Arial" w:hAnsi="Arial" w:cs="Arial"/>
        <w:color w:val="4D4D4D"/>
        <w:sz w:val="16"/>
        <w:szCs w:val="16"/>
      </w:rPr>
      <w:fldChar w:fldCharType="begin"/>
    </w:r>
    <w:r w:rsidR="001308D5">
      <w:rPr>
        <w:rFonts w:ascii="Arial" w:hAnsi="Arial" w:cs="Arial"/>
        <w:color w:val="4D4D4D"/>
        <w:sz w:val="16"/>
        <w:szCs w:val="16"/>
      </w:rPr>
      <w:instrText xml:space="preserve"> </w:instrText>
    </w:r>
    <w:r w:rsidR="001308D5">
      <w:rPr>
        <w:rFonts w:ascii="Arial" w:hAnsi="Arial" w:cs="Arial"/>
        <w:color w:val="4D4D4D"/>
        <w:sz w:val="16"/>
        <w:szCs w:val="16"/>
      </w:rPr>
      <w:fldChar w:fldCharType="begin"/>
    </w:r>
    <w:r w:rsidR="001308D5">
      <w:rPr>
        <w:rFonts w:ascii="Arial" w:hAnsi="Arial" w:cs="Arial"/>
        <w:color w:val="4D4D4D"/>
        <w:sz w:val="16"/>
        <w:szCs w:val="16"/>
      </w:rPr>
      <w:instrText xml:space="preserve"> DATE \@ "MMM-yy" </w:instrText>
    </w:r>
    <w:r w:rsidR="001308D5">
      <w:rPr>
        <w:rFonts w:ascii="Arial" w:hAnsi="Arial" w:cs="Arial"/>
        <w:color w:val="4D4D4D"/>
        <w:sz w:val="16"/>
        <w:szCs w:val="16"/>
      </w:rPr>
      <w:fldChar w:fldCharType="separate"/>
    </w:r>
    <w:r w:rsidR="00B75807">
      <w:rPr>
        <w:rFonts w:ascii="Arial" w:hAnsi="Arial" w:cs="Arial"/>
        <w:noProof/>
        <w:color w:val="4D4D4D"/>
        <w:sz w:val="16"/>
        <w:szCs w:val="16"/>
      </w:rPr>
      <w:instrText>Sep-18</w:instrText>
    </w:r>
    <w:r w:rsidR="001308D5">
      <w:rPr>
        <w:rFonts w:ascii="Arial" w:hAnsi="Arial" w:cs="Arial"/>
        <w:color w:val="4D4D4D"/>
        <w:sz w:val="16"/>
        <w:szCs w:val="16"/>
      </w:rPr>
      <w:fldChar w:fldCharType="end"/>
    </w:r>
    <w:r w:rsidR="001308D5">
      <w:rPr>
        <w:rFonts w:ascii="Arial" w:hAnsi="Arial" w:cs="Arial"/>
        <w:color w:val="4D4D4D"/>
        <w:sz w:val="16"/>
        <w:szCs w:val="16"/>
      </w:rPr>
      <w:instrText xml:space="preserve"> </w:instrText>
    </w:r>
    <w:r w:rsidR="001308D5">
      <w:rPr>
        <w:rFonts w:ascii="Arial" w:hAnsi="Arial" w:cs="Arial"/>
        <w:color w:val="4D4D4D"/>
        <w:sz w:val="16"/>
        <w:szCs w:val="16"/>
      </w:rPr>
      <w:fldChar w:fldCharType="end"/>
    </w:r>
    <w:r w:rsidR="00F406C5">
      <w:rPr>
        <w:rFonts w:ascii="Arial" w:hAnsi="Arial" w:cs="Arial"/>
        <w:color w:val="4D4D4D"/>
        <w:sz w:val="16"/>
        <w:szCs w:val="16"/>
      </w:rPr>
      <w:fldChar w:fldCharType="begin"/>
    </w:r>
    <w:r w:rsidR="00F406C5">
      <w:rPr>
        <w:rFonts w:ascii="Arial" w:hAnsi="Arial" w:cs="Arial"/>
        <w:color w:val="4D4D4D"/>
        <w:sz w:val="16"/>
        <w:szCs w:val="16"/>
      </w:rPr>
      <w:instrText xml:space="preserve"> </w:instrText>
    </w:r>
    <w:r w:rsidR="00F406C5">
      <w:rPr>
        <w:rFonts w:ascii="Arial" w:hAnsi="Arial" w:cs="Arial"/>
        <w:color w:val="4D4D4D"/>
        <w:sz w:val="16"/>
        <w:szCs w:val="16"/>
      </w:rPr>
      <w:fldChar w:fldCharType="begin"/>
    </w:r>
    <w:r w:rsidR="00F406C5">
      <w:rPr>
        <w:rFonts w:ascii="Arial" w:hAnsi="Arial" w:cs="Arial"/>
        <w:color w:val="4D4D4D"/>
        <w:sz w:val="16"/>
        <w:szCs w:val="16"/>
      </w:rPr>
      <w:instrText xml:space="preserve"> DATE \@ "MMMM yy" </w:instrText>
    </w:r>
    <w:r w:rsidR="00F406C5">
      <w:rPr>
        <w:rFonts w:ascii="Arial" w:hAnsi="Arial" w:cs="Arial"/>
        <w:color w:val="4D4D4D"/>
        <w:sz w:val="16"/>
        <w:szCs w:val="16"/>
      </w:rPr>
      <w:fldChar w:fldCharType="separate"/>
    </w:r>
    <w:r w:rsidR="00B75807">
      <w:rPr>
        <w:rFonts w:ascii="Arial" w:hAnsi="Arial" w:cs="Arial"/>
        <w:noProof/>
        <w:color w:val="4D4D4D"/>
        <w:sz w:val="16"/>
        <w:szCs w:val="16"/>
      </w:rPr>
      <w:instrText>September 18</w:instrText>
    </w:r>
    <w:r w:rsidR="00F406C5">
      <w:rPr>
        <w:rFonts w:ascii="Arial" w:hAnsi="Arial" w:cs="Arial"/>
        <w:color w:val="4D4D4D"/>
        <w:sz w:val="16"/>
        <w:szCs w:val="16"/>
      </w:rPr>
      <w:fldChar w:fldCharType="end"/>
    </w:r>
    <w:r w:rsidR="00F406C5">
      <w:rPr>
        <w:rFonts w:ascii="Arial" w:hAnsi="Arial" w:cs="Arial"/>
        <w:color w:val="4D4D4D"/>
        <w:sz w:val="16"/>
        <w:szCs w:val="16"/>
      </w:rPr>
      <w:instrText xml:space="preserve"> </w:instrText>
    </w:r>
    <w:r w:rsidR="00F406C5">
      <w:rPr>
        <w:rFonts w:ascii="Arial" w:hAnsi="Arial" w:cs="Arial"/>
        <w:color w:val="4D4D4D"/>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140" w:rsidRPr="00E375D0" w:rsidRDefault="007A1140" w:rsidP="00E375D0">
    <w:pPr>
      <w:pStyle w:val="TRWPTxt"/>
      <w:pBdr>
        <w:top w:val="single" w:sz="4" w:space="1" w:color="787878"/>
      </w:pBdr>
      <w:tabs>
        <w:tab w:val="right" w:pos="9720"/>
      </w:tabs>
      <w:spacing w:after="0"/>
    </w:pPr>
    <w:r w:rsidRPr="00141C8D">
      <w:rPr>
        <w:color w:val="4D4D4D"/>
      </w:rPr>
      <w:t>Thomson Reuters</w:t>
    </w:r>
    <w:r w:rsidRPr="00141C8D">
      <w:rPr>
        <w:color w:val="4D4D4D"/>
      </w:rPr>
      <w:tab/>
    </w:r>
  </w:p>
  <w:p w:rsidR="007A1140" w:rsidRPr="00141C8D" w:rsidRDefault="007A1140" w:rsidP="00E375D0">
    <w:pPr>
      <w:pStyle w:val="TRWPTxt"/>
      <w:tabs>
        <w:tab w:val="right" w:pos="9720"/>
      </w:tabs>
      <w:spacing w:after="0"/>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141C8D">
              <w:t>2395 Midway Road</w:t>
            </w:r>
          </w:smartTag>
        </w:smartTag>
        <w:r w:rsidRPr="00141C8D">
          <w:t xml:space="preserve"> </w:t>
        </w:r>
        <w:smartTag w:uri="urn:schemas-microsoft-com:office:smarttags" w:element="City">
          <w:r w:rsidRPr="00141C8D">
            <w:t>Carrollton</w:t>
          </w:r>
        </w:smartTag>
        <w:r w:rsidRPr="00141C8D">
          <w:t xml:space="preserve">, </w:t>
        </w:r>
        <w:smartTag w:uri="urn:schemas-microsoft-com:office:smarttags" w:element="State">
          <w:r w:rsidRPr="00141C8D">
            <w:t>TX</w:t>
          </w:r>
        </w:smartTag>
        <w:r w:rsidRPr="00141C8D">
          <w:t xml:space="preserve"> </w:t>
        </w:r>
        <w:smartTag w:uri="urn:schemas-microsoft-com:office:smarttags" w:element="PostalCode">
          <w:r w:rsidRPr="00141C8D">
            <w:t>75006</w:t>
          </w:r>
        </w:smartTag>
      </w:smartTag>
    </w:smartTag>
    <w:r w:rsidRPr="00141C8D">
      <w:tab/>
    </w:r>
  </w:p>
  <w:p w:rsidR="007A1140" w:rsidRDefault="007A1140" w:rsidP="00E375D0">
    <w:pPr>
      <w:pStyle w:val="TRWPTxt"/>
      <w:tabs>
        <w:tab w:val="right" w:pos="9720"/>
      </w:tabs>
      <w:spacing w:after="0"/>
    </w:pPr>
    <w:r w:rsidRPr="00141C8D">
      <w:t>Trust Tax 1-888-706-1041</w:t>
    </w:r>
    <w:r w:rsidRPr="00141C8D">
      <w:tab/>
    </w:r>
    <w:hyperlink r:id="rId1" w:history="1">
      <w:r w:rsidRPr="00EE6A76">
        <w:rPr>
          <w:rStyle w:val="Hyperlink"/>
          <w:rFonts w:cs="Arial"/>
        </w:rPr>
        <w:t>https://support.fasttax.com</w:t>
      </w:r>
    </w:hyperlink>
  </w:p>
  <w:p w:rsidR="007A1140" w:rsidRPr="00B01DEB" w:rsidRDefault="007A1140" w:rsidP="00E375D0">
    <w:pPr>
      <w:pStyle w:val="TRWPT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140" w:rsidRPr="002B58B7" w:rsidRDefault="007A1140" w:rsidP="00E375D0">
    <w:pPr>
      <w:pStyle w:val="TRWPTxt"/>
      <w:pBdr>
        <w:top w:val="single" w:sz="4" w:space="1" w:color="787878"/>
      </w:pBdr>
      <w:tabs>
        <w:tab w:val="right" w:pos="9720"/>
      </w:tabs>
      <w:spacing w:after="0"/>
    </w:pPr>
    <w:r w:rsidRPr="002B58B7">
      <w:t>Thomson Reuters</w:t>
    </w:r>
    <w:r w:rsidRPr="002B58B7">
      <w:tab/>
    </w:r>
  </w:p>
  <w:p w:rsidR="007A1140" w:rsidRPr="002B58B7" w:rsidRDefault="00C23574" w:rsidP="00E375D0">
    <w:pPr>
      <w:pStyle w:val="TRWPTxt"/>
      <w:tabs>
        <w:tab w:val="right" w:pos="9720"/>
      </w:tabs>
      <w:spacing w:after="0"/>
    </w:pPr>
    <w:r>
      <w:t xml:space="preserve">ONESOURCE </w:t>
    </w:r>
    <w:r w:rsidR="007A1140" w:rsidRPr="00141C8D">
      <w:t>Trust</w:t>
    </w:r>
    <w:r w:rsidR="007A1140">
      <w:t xml:space="preserve"> &amp; Estate Administration</w:t>
    </w:r>
    <w:r w:rsidR="00376AE8">
      <w:t xml:space="preserve"> </w:t>
    </w:r>
    <w:r w:rsidR="00F406C5" w:rsidRPr="00F406C5">
      <w:t>800-327-8829 option 1, 2</w:t>
    </w:r>
    <w:r w:rsidR="007A1140" w:rsidRPr="00141C8D">
      <w:tab/>
    </w:r>
    <w:hyperlink r:id="rId1" w:history="1">
      <w:r w:rsidR="007A1140">
        <w:rPr>
          <w:rStyle w:val="Hyperlink"/>
          <w:rFonts w:cs="Arial"/>
        </w:rPr>
        <w:t>www.oteasoftware.com</w:t>
      </w:r>
    </w:hyperlink>
  </w:p>
  <w:p w:rsidR="007A1140" w:rsidRPr="00B01DEB" w:rsidRDefault="007A1140" w:rsidP="00E375D0">
    <w:pPr>
      <w:pStyle w:val="TRWPT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140" w:rsidRPr="009B7E73" w:rsidRDefault="007A1140" w:rsidP="002B58B7">
    <w:pPr>
      <w:pStyle w:val="TRWPTxt"/>
      <w:pBdr>
        <w:top w:val="single" w:sz="4" w:space="1" w:color="787878"/>
      </w:pBdr>
      <w:tabs>
        <w:tab w:val="right" w:pos="9720"/>
      </w:tabs>
      <w:spacing w:after="0"/>
    </w:pPr>
    <w:r w:rsidRPr="009B7E73">
      <w:t>Thomson Reuters</w:t>
    </w:r>
    <w:r w:rsidRPr="009B7E73">
      <w:tab/>
    </w:r>
    <w:r>
      <w:t xml:space="preserve">Page </w:t>
    </w:r>
    <w:r w:rsidR="000029F8">
      <w:fldChar w:fldCharType="begin"/>
    </w:r>
    <w:r w:rsidR="000029F8">
      <w:instrText xml:space="preserve"> PAGE </w:instrText>
    </w:r>
    <w:r w:rsidR="000029F8">
      <w:fldChar w:fldCharType="separate"/>
    </w:r>
    <w:r w:rsidR="007E4921">
      <w:rPr>
        <w:noProof/>
      </w:rPr>
      <w:t>i</w:t>
    </w:r>
    <w:r w:rsidR="000029F8">
      <w:rPr>
        <w:noProof/>
      </w:rPr>
      <w:fldChar w:fldCharType="end"/>
    </w:r>
  </w:p>
  <w:p w:rsidR="007A1140" w:rsidRPr="009B7E73" w:rsidRDefault="00C23574" w:rsidP="00E375D0">
    <w:pPr>
      <w:pStyle w:val="TRWPTxt"/>
      <w:tabs>
        <w:tab w:val="right" w:pos="9720"/>
      </w:tabs>
      <w:spacing w:after="0"/>
    </w:pPr>
    <w:r>
      <w:t xml:space="preserve">ONESOURCE </w:t>
    </w:r>
    <w:r w:rsidR="007A1140" w:rsidRPr="009B7E73">
      <w:t>Trust</w:t>
    </w:r>
    <w:r w:rsidR="007A1140">
      <w:t xml:space="preserve"> &amp; Estate Administration</w:t>
    </w:r>
    <w:r w:rsidR="00874713">
      <w:t xml:space="preserve"> </w:t>
    </w:r>
    <w:r w:rsidR="00F406C5" w:rsidRPr="00F406C5">
      <w:t>800-327-8829 option 1, 2</w:t>
    </w:r>
    <w:r w:rsidR="007A1140" w:rsidRPr="009B7E73">
      <w:tab/>
    </w:r>
    <w:hyperlink r:id="rId1" w:history="1">
      <w:r w:rsidR="007A1140">
        <w:rPr>
          <w:rStyle w:val="Hyperlink"/>
          <w:rFonts w:cs="Arial"/>
        </w:rPr>
        <w:t>www.oteasoftware.com</w:t>
      </w:r>
    </w:hyperlink>
  </w:p>
  <w:p w:rsidR="007A1140" w:rsidRPr="009B7E73" w:rsidRDefault="007A1140" w:rsidP="00E375D0">
    <w:pPr>
      <w:pStyle w:val="TRWPT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140" w:rsidRPr="00E375D0" w:rsidRDefault="007A1140" w:rsidP="00E375D0">
    <w:pPr>
      <w:pStyle w:val="TRWPTxt"/>
      <w:pBdr>
        <w:top w:val="single" w:sz="4" w:space="1" w:color="787878"/>
      </w:pBdr>
      <w:tabs>
        <w:tab w:val="right" w:pos="9720"/>
      </w:tabs>
      <w:spacing w:after="0"/>
    </w:pPr>
    <w:r w:rsidRPr="002B58B7">
      <w:t>Thomson Reuters</w:t>
    </w:r>
    <w:r w:rsidRPr="00141C8D">
      <w:rPr>
        <w:color w:val="4D4D4D"/>
      </w:rPr>
      <w:tab/>
    </w:r>
    <w:r w:rsidRPr="00E375D0">
      <w:t xml:space="preserve">Page </w:t>
    </w:r>
    <w:r w:rsidR="000029F8">
      <w:fldChar w:fldCharType="begin"/>
    </w:r>
    <w:r w:rsidR="000029F8">
      <w:instrText xml:space="preserve"> PAGE </w:instrText>
    </w:r>
    <w:r w:rsidR="000029F8">
      <w:fldChar w:fldCharType="separate"/>
    </w:r>
    <w:r w:rsidR="007E4921">
      <w:rPr>
        <w:noProof/>
      </w:rPr>
      <w:t>4</w:t>
    </w:r>
    <w:r w:rsidR="000029F8">
      <w:rPr>
        <w:noProof/>
      </w:rPr>
      <w:fldChar w:fldCharType="end"/>
    </w:r>
  </w:p>
  <w:p w:rsidR="007A1140" w:rsidRDefault="00C23574" w:rsidP="00E375D0">
    <w:pPr>
      <w:pStyle w:val="TRWPTxt"/>
      <w:tabs>
        <w:tab w:val="right" w:pos="9720"/>
      </w:tabs>
      <w:spacing w:after="0"/>
    </w:pPr>
    <w:r>
      <w:t xml:space="preserve">ONESOURCE </w:t>
    </w:r>
    <w:r w:rsidR="007A1140" w:rsidRPr="00141C8D">
      <w:t>Trust</w:t>
    </w:r>
    <w:r w:rsidR="007A1140">
      <w:t xml:space="preserve"> &amp; Estate Administration</w:t>
    </w:r>
    <w:r w:rsidR="00874713">
      <w:t xml:space="preserve"> </w:t>
    </w:r>
    <w:r w:rsidR="00F406C5" w:rsidRPr="00F406C5">
      <w:t>800-327-8829 option 1, 2</w:t>
    </w:r>
    <w:r w:rsidR="007A1140" w:rsidRPr="00141C8D">
      <w:tab/>
    </w:r>
    <w:hyperlink r:id="rId1" w:history="1">
      <w:r w:rsidR="007A1140">
        <w:rPr>
          <w:rStyle w:val="Hyperlink"/>
          <w:rFonts w:cs="Arial"/>
        </w:rPr>
        <w:t>www.oteasoftware.com</w:t>
      </w:r>
    </w:hyperlink>
  </w:p>
  <w:p w:rsidR="007A1140" w:rsidRPr="00B01DEB" w:rsidRDefault="007A1140" w:rsidP="00E375D0">
    <w:pPr>
      <w:pStyle w:val="TRWPT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7E7" w:rsidRDefault="00DA57E7">
      <w:r>
        <w:separator/>
      </w:r>
    </w:p>
  </w:footnote>
  <w:footnote w:type="continuationSeparator" w:id="0">
    <w:p w:rsidR="00DA57E7" w:rsidRDefault="00DA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140" w:rsidRPr="00CF6F45" w:rsidRDefault="007A1140" w:rsidP="00136A1E">
    <w:pPr>
      <w:pStyle w:val="Header"/>
      <w:tabs>
        <w:tab w:val="clear" w:pos="8640"/>
        <w:tab w:val="left" w:pos="3975"/>
        <w:tab w:val="right" w:pos="9360"/>
      </w:tabs>
      <w:spacing w:before="120"/>
      <w:ind w:left="187"/>
      <w:rPr>
        <w:rFonts w:ascii="Arial" w:hAnsi="Arial" w:cs="Arial"/>
        <w:color w:val="FFFFFF"/>
        <w:sz w:val="22"/>
        <w:szCs w:val="22"/>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172200" cy="342900"/>
          <wp:effectExtent l="19050" t="0" r="0" b="0"/>
          <wp:wrapNone/>
          <wp:docPr id="2" name="Picture 39" descr="WhtPaper_gradientBG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htPaper_gradientBG_Blue"/>
                  <pic:cNvPicPr>
                    <a:picLocks noChangeAspect="1" noChangeArrowheads="1"/>
                  </pic:cNvPicPr>
                </pic:nvPicPr>
                <pic:blipFill>
                  <a:blip r:embed="rId1"/>
                  <a:srcRect/>
                  <a:stretch>
                    <a:fillRect/>
                  </a:stretch>
                </pic:blipFill>
                <pic:spPr bwMode="auto">
                  <a:xfrm>
                    <a:off x="0" y="0"/>
                    <a:ext cx="6172200" cy="342900"/>
                  </a:xfrm>
                  <a:prstGeom prst="rect">
                    <a:avLst/>
                  </a:prstGeom>
                  <a:noFill/>
                  <a:ln w="3175">
                    <a:miter lim="800000"/>
                    <a:headEnd/>
                    <a:tailEnd/>
                  </a:ln>
                </pic:spPr>
              </pic:pic>
            </a:graphicData>
          </a:graphic>
        </wp:anchor>
      </w:drawing>
    </w:r>
    <w:r w:rsidRPr="00141C8D">
      <w:rPr>
        <w:rFonts w:ascii="Arial" w:hAnsi="Arial" w:cs="Arial"/>
        <w:b/>
        <w:color w:val="FFFFFF"/>
        <w:sz w:val="22"/>
        <w:szCs w:val="22"/>
      </w:rPr>
      <w:t>ONE</w:t>
    </w:r>
    <w:r w:rsidRPr="00141C8D">
      <w:rPr>
        <w:rFonts w:ascii="Arial" w:hAnsi="Arial" w:cs="Arial"/>
        <w:color w:val="FFFFFF"/>
        <w:sz w:val="22"/>
        <w:szCs w:val="22"/>
      </w:rPr>
      <w:t xml:space="preserve">SOURCE </w:t>
    </w:r>
    <w:r>
      <w:rPr>
        <w:rFonts w:ascii="Arial" w:hAnsi="Arial" w:cs="Arial"/>
        <w:color w:val="FFFFFF"/>
        <w:sz w:val="22"/>
        <w:szCs w:val="22"/>
      </w:rPr>
      <w:t>TRUST &amp; ESTATE ADMINISTRATION</w:t>
    </w:r>
    <w:r>
      <w:rPr>
        <w:rFonts w:ascii="Arial" w:hAnsi="Arial" w:cs="Arial"/>
        <w:color w:val="FFFFFF"/>
        <w:sz w:val="22"/>
        <w:szCs w:val="22"/>
      </w:rPr>
      <w:tab/>
      <w:t>System Requirements</w:t>
    </w:r>
  </w:p>
  <w:p w:rsidR="007A1140" w:rsidRPr="00136A1E" w:rsidRDefault="007A1140" w:rsidP="009875AE">
    <w:pPr>
      <w:pStyle w:val="Header"/>
      <w:spacing w:after="36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CEA"/>
    <w:multiLevelType w:val="hybridMultilevel"/>
    <w:tmpl w:val="8B7A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945C7"/>
    <w:multiLevelType w:val="hybridMultilevel"/>
    <w:tmpl w:val="39DE78E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1BA132A8"/>
    <w:multiLevelType w:val="hybridMultilevel"/>
    <w:tmpl w:val="10C2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008EF"/>
    <w:multiLevelType w:val="multilevel"/>
    <w:tmpl w:val="CB9C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A5FA0"/>
    <w:multiLevelType w:val="hybridMultilevel"/>
    <w:tmpl w:val="8476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31334"/>
    <w:multiLevelType w:val="hybridMultilevel"/>
    <w:tmpl w:val="A928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A40EF"/>
    <w:multiLevelType w:val="hybridMultilevel"/>
    <w:tmpl w:val="9788EB48"/>
    <w:lvl w:ilvl="0" w:tplc="C8E221DC">
      <w:start w:val="1"/>
      <w:numFmt w:val="bullet"/>
      <w:pStyle w:val="TRWPTxtBullets"/>
      <w:lvlText w:val=""/>
      <w:lvlJc w:val="left"/>
      <w:pPr>
        <w:tabs>
          <w:tab w:val="num" w:pos="216"/>
        </w:tabs>
        <w:ind w:left="216" w:hanging="216"/>
      </w:pPr>
      <w:rPr>
        <w:rFonts w:ascii="Symbol" w:hAnsi="Symbol" w:hint="default"/>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04B38"/>
    <w:multiLevelType w:val="hybridMultilevel"/>
    <w:tmpl w:val="EEC6A6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1D71E3"/>
    <w:multiLevelType w:val="hybridMultilevel"/>
    <w:tmpl w:val="D064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A3515"/>
    <w:multiLevelType w:val="hybridMultilevel"/>
    <w:tmpl w:val="3020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130F2"/>
    <w:multiLevelType w:val="hybridMultilevel"/>
    <w:tmpl w:val="AD94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07116"/>
    <w:multiLevelType w:val="hybridMultilevel"/>
    <w:tmpl w:val="57D8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253BC"/>
    <w:multiLevelType w:val="hybridMultilevel"/>
    <w:tmpl w:val="2B4ED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23DEF"/>
    <w:multiLevelType w:val="hybridMultilevel"/>
    <w:tmpl w:val="9900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E73D6"/>
    <w:multiLevelType w:val="hybridMultilevel"/>
    <w:tmpl w:val="41BE61B8"/>
    <w:lvl w:ilvl="0" w:tplc="E29875D2">
      <w:start w:val="1"/>
      <w:numFmt w:val="bullet"/>
      <w:pStyle w:val="List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0"/>
  </w:num>
  <w:num w:numId="4">
    <w:abstractNumId w:val="2"/>
  </w:num>
  <w:num w:numId="5">
    <w:abstractNumId w:val="13"/>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1"/>
  </w:num>
  <w:num w:numId="10">
    <w:abstractNumId w:val="5"/>
  </w:num>
  <w:num w:numId="11">
    <w:abstractNumId w:val="7"/>
  </w:num>
  <w:num w:numId="12">
    <w:abstractNumId w:val="11"/>
  </w:num>
  <w:num w:numId="13">
    <w:abstractNumId w:val="0"/>
  </w:num>
  <w:num w:numId="14">
    <w:abstractNumId w:val="3"/>
  </w:num>
  <w:num w:numId="15">
    <w:abstractNumId w:val="8"/>
  </w:num>
  <w:num w:numId="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3B"/>
    <w:rsid w:val="000029F8"/>
    <w:rsid w:val="00004239"/>
    <w:rsid w:val="00010173"/>
    <w:rsid w:val="000133C1"/>
    <w:rsid w:val="0001458A"/>
    <w:rsid w:val="000202D0"/>
    <w:rsid w:val="00020C73"/>
    <w:rsid w:val="00021204"/>
    <w:rsid w:val="00022271"/>
    <w:rsid w:val="0002263B"/>
    <w:rsid w:val="000233D6"/>
    <w:rsid w:val="000301D9"/>
    <w:rsid w:val="00033FE9"/>
    <w:rsid w:val="00037864"/>
    <w:rsid w:val="00040C24"/>
    <w:rsid w:val="00040ECA"/>
    <w:rsid w:val="00041F5A"/>
    <w:rsid w:val="00043A15"/>
    <w:rsid w:val="000459BC"/>
    <w:rsid w:val="00047A73"/>
    <w:rsid w:val="00047BA9"/>
    <w:rsid w:val="000605DE"/>
    <w:rsid w:val="000620A7"/>
    <w:rsid w:val="000627DF"/>
    <w:rsid w:val="000631AD"/>
    <w:rsid w:val="00063C16"/>
    <w:rsid w:val="0007209D"/>
    <w:rsid w:val="00073AB2"/>
    <w:rsid w:val="00077A36"/>
    <w:rsid w:val="00080ADD"/>
    <w:rsid w:val="000818BC"/>
    <w:rsid w:val="0008393B"/>
    <w:rsid w:val="0008461B"/>
    <w:rsid w:val="00086AD5"/>
    <w:rsid w:val="0009120F"/>
    <w:rsid w:val="00091872"/>
    <w:rsid w:val="00093AC7"/>
    <w:rsid w:val="00094A9C"/>
    <w:rsid w:val="000A2595"/>
    <w:rsid w:val="000A2DE8"/>
    <w:rsid w:val="000A5A5C"/>
    <w:rsid w:val="000A7E98"/>
    <w:rsid w:val="000B276B"/>
    <w:rsid w:val="000B4BFC"/>
    <w:rsid w:val="000B4D03"/>
    <w:rsid w:val="000B52B3"/>
    <w:rsid w:val="000B6524"/>
    <w:rsid w:val="000C4CBD"/>
    <w:rsid w:val="000C5147"/>
    <w:rsid w:val="000C6133"/>
    <w:rsid w:val="000C7CBB"/>
    <w:rsid w:val="000D11A3"/>
    <w:rsid w:val="000D2CFC"/>
    <w:rsid w:val="000D2F73"/>
    <w:rsid w:val="000D5B13"/>
    <w:rsid w:val="000E1793"/>
    <w:rsid w:val="000E2B16"/>
    <w:rsid w:val="000E3BE9"/>
    <w:rsid w:val="000E3DFC"/>
    <w:rsid w:val="000F0FB0"/>
    <w:rsid w:val="000F390D"/>
    <w:rsid w:val="000F6DA9"/>
    <w:rsid w:val="0010078D"/>
    <w:rsid w:val="00100F02"/>
    <w:rsid w:val="00107032"/>
    <w:rsid w:val="001072EB"/>
    <w:rsid w:val="00112A9B"/>
    <w:rsid w:val="001149CC"/>
    <w:rsid w:val="001162C2"/>
    <w:rsid w:val="00121F44"/>
    <w:rsid w:val="0012295C"/>
    <w:rsid w:val="001270D4"/>
    <w:rsid w:val="00127D78"/>
    <w:rsid w:val="001308D5"/>
    <w:rsid w:val="001315F2"/>
    <w:rsid w:val="0013689B"/>
    <w:rsid w:val="00136A1E"/>
    <w:rsid w:val="00141C8D"/>
    <w:rsid w:val="00144F5B"/>
    <w:rsid w:val="00146A40"/>
    <w:rsid w:val="00151A8F"/>
    <w:rsid w:val="001556B5"/>
    <w:rsid w:val="00156765"/>
    <w:rsid w:val="00156B5E"/>
    <w:rsid w:val="00156F2A"/>
    <w:rsid w:val="00163E54"/>
    <w:rsid w:val="00167792"/>
    <w:rsid w:val="00170356"/>
    <w:rsid w:val="00170805"/>
    <w:rsid w:val="001716EB"/>
    <w:rsid w:val="00173A92"/>
    <w:rsid w:val="00175152"/>
    <w:rsid w:val="00176F4C"/>
    <w:rsid w:val="00181366"/>
    <w:rsid w:val="00181F76"/>
    <w:rsid w:val="00183D44"/>
    <w:rsid w:val="00184AD2"/>
    <w:rsid w:val="00184F98"/>
    <w:rsid w:val="00186C96"/>
    <w:rsid w:val="00187C0D"/>
    <w:rsid w:val="00191009"/>
    <w:rsid w:val="00195272"/>
    <w:rsid w:val="001A0222"/>
    <w:rsid w:val="001A0F1B"/>
    <w:rsid w:val="001A1390"/>
    <w:rsid w:val="001A733F"/>
    <w:rsid w:val="001B211D"/>
    <w:rsid w:val="001B3DF5"/>
    <w:rsid w:val="001B6404"/>
    <w:rsid w:val="001C2334"/>
    <w:rsid w:val="001C25CB"/>
    <w:rsid w:val="001C3035"/>
    <w:rsid w:val="001C37A3"/>
    <w:rsid w:val="001C4D18"/>
    <w:rsid w:val="001C5D5E"/>
    <w:rsid w:val="001C65F1"/>
    <w:rsid w:val="001C7C41"/>
    <w:rsid w:val="001D14EA"/>
    <w:rsid w:val="001D37E3"/>
    <w:rsid w:val="001D3C69"/>
    <w:rsid w:val="001D52DD"/>
    <w:rsid w:val="001E1007"/>
    <w:rsid w:val="001E4AA2"/>
    <w:rsid w:val="001E4C1A"/>
    <w:rsid w:val="001E7C36"/>
    <w:rsid w:val="001F148E"/>
    <w:rsid w:val="001F29A0"/>
    <w:rsid w:val="001F35DB"/>
    <w:rsid w:val="001F6989"/>
    <w:rsid w:val="00200E8A"/>
    <w:rsid w:val="00205C70"/>
    <w:rsid w:val="00215B17"/>
    <w:rsid w:val="00221C9F"/>
    <w:rsid w:val="00222E38"/>
    <w:rsid w:val="00223606"/>
    <w:rsid w:val="002267F5"/>
    <w:rsid w:val="0023363C"/>
    <w:rsid w:val="00236BF9"/>
    <w:rsid w:val="00236F85"/>
    <w:rsid w:val="002434AF"/>
    <w:rsid w:val="00243905"/>
    <w:rsid w:val="00252796"/>
    <w:rsid w:val="00254027"/>
    <w:rsid w:val="00254AF2"/>
    <w:rsid w:val="0025624C"/>
    <w:rsid w:val="00260003"/>
    <w:rsid w:val="00262A8D"/>
    <w:rsid w:val="00263FF9"/>
    <w:rsid w:val="00265163"/>
    <w:rsid w:val="00265BB1"/>
    <w:rsid w:val="0026604F"/>
    <w:rsid w:val="002679FD"/>
    <w:rsid w:val="00274CB4"/>
    <w:rsid w:val="00286A83"/>
    <w:rsid w:val="0029091B"/>
    <w:rsid w:val="00292D71"/>
    <w:rsid w:val="002930D5"/>
    <w:rsid w:val="00297E99"/>
    <w:rsid w:val="002A3A55"/>
    <w:rsid w:val="002A3E74"/>
    <w:rsid w:val="002A4628"/>
    <w:rsid w:val="002A597B"/>
    <w:rsid w:val="002A7310"/>
    <w:rsid w:val="002B17A2"/>
    <w:rsid w:val="002B3F85"/>
    <w:rsid w:val="002B58B7"/>
    <w:rsid w:val="002B77FF"/>
    <w:rsid w:val="002C48D3"/>
    <w:rsid w:val="002C6DC9"/>
    <w:rsid w:val="002D2D75"/>
    <w:rsid w:val="002D41C8"/>
    <w:rsid w:val="002D5AC2"/>
    <w:rsid w:val="002E7B1F"/>
    <w:rsid w:val="002F0189"/>
    <w:rsid w:val="002F0A1E"/>
    <w:rsid w:val="002F1A02"/>
    <w:rsid w:val="002F1F5D"/>
    <w:rsid w:val="002F58BA"/>
    <w:rsid w:val="002F6B61"/>
    <w:rsid w:val="002F7E9B"/>
    <w:rsid w:val="0030035C"/>
    <w:rsid w:val="00300384"/>
    <w:rsid w:val="003026E0"/>
    <w:rsid w:val="003028D0"/>
    <w:rsid w:val="00303EAB"/>
    <w:rsid w:val="00310AFB"/>
    <w:rsid w:val="003156DD"/>
    <w:rsid w:val="00321D27"/>
    <w:rsid w:val="00323539"/>
    <w:rsid w:val="003247B4"/>
    <w:rsid w:val="00326D4A"/>
    <w:rsid w:val="0033010C"/>
    <w:rsid w:val="00333ED2"/>
    <w:rsid w:val="00336564"/>
    <w:rsid w:val="00337EF6"/>
    <w:rsid w:val="0034144A"/>
    <w:rsid w:val="003445F9"/>
    <w:rsid w:val="00346202"/>
    <w:rsid w:val="00352C9B"/>
    <w:rsid w:val="00356292"/>
    <w:rsid w:val="003604C8"/>
    <w:rsid w:val="00361E1A"/>
    <w:rsid w:val="0036223A"/>
    <w:rsid w:val="00365F2E"/>
    <w:rsid w:val="00366154"/>
    <w:rsid w:val="003668C9"/>
    <w:rsid w:val="003726E1"/>
    <w:rsid w:val="00373240"/>
    <w:rsid w:val="00373DC1"/>
    <w:rsid w:val="0037420B"/>
    <w:rsid w:val="00375B4F"/>
    <w:rsid w:val="00376612"/>
    <w:rsid w:val="00376AE8"/>
    <w:rsid w:val="00381D60"/>
    <w:rsid w:val="00384815"/>
    <w:rsid w:val="00385804"/>
    <w:rsid w:val="00386E3B"/>
    <w:rsid w:val="00390AA1"/>
    <w:rsid w:val="00390AF6"/>
    <w:rsid w:val="0039383D"/>
    <w:rsid w:val="00393CDA"/>
    <w:rsid w:val="00395DDF"/>
    <w:rsid w:val="003A0FAA"/>
    <w:rsid w:val="003A152F"/>
    <w:rsid w:val="003A319A"/>
    <w:rsid w:val="003A5235"/>
    <w:rsid w:val="003A579A"/>
    <w:rsid w:val="003A7B8D"/>
    <w:rsid w:val="003B1F77"/>
    <w:rsid w:val="003B249C"/>
    <w:rsid w:val="003B3BA3"/>
    <w:rsid w:val="003B414A"/>
    <w:rsid w:val="003B60EB"/>
    <w:rsid w:val="003C34CF"/>
    <w:rsid w:val="003C3F34"/>
    <w:rsid w:val="003D0F4A"/>
    <w:rsid w:val="003D1BBD"/>
    <w:rsid w:val="003D75ED"/>
    <w:rsid w:val="003E14D0"/>
    <w:rsid w:val="003E2FC7"/>
    <w:rsid w:val="003E3C83"/>
    <w:rsid w:val="003E5B1E"/>
    <w:rsid w:val="003E6A66"/>
    <w:rsid w:val="003E6F45"/>
    <w:rsid w:val="003F283A"/>
    <w:rsid w:val="003F2A0F"/>
    <w:rsid w:val="003F7BD3"/>
    <w:rsid w:val="00400D29"/>
    <w:rsid w:val="00403EB7"/>
    <w:rsid w:val="004073A0"/>
    <w:rsid w:val="004108BE"/>
    <w:rsid w:val="00411DCF"/>
    <w:rsid w:val="00412401"/>
    <w:rsid w:val="00413571"/>
    <w:rsid w:val="00414CCF"/>
    <w:rsid w:val="00417E5F"/>
    <w:rsid w:val="00420DA9"/>
    <w:rsid w:val="004217FD"/>
    <w:rsid w:val="00422A42"/>
    <w:rsid w:val="00423646"/>
    <w:rsid w:val="00423C72"/>
    <w:rsid w:val="004244B8"/>
    <w:rsid w:val="0043005C"/>
    <w:rsid w:val="00430215"/>
    <w:rsid w:val="00430271"/>
    <w:rsid w:val="00435F34"/>
    <w:rsid w:val="004368AB"/>
    <w:rsid w:val="00437D03"/>
    <w:rsid w:val="00446595"/>
    <w:rsid w:val="00451995"/>
    <w:rsid w:val="00451BD0"/>
    <w:rsid w:val="004534D9"/>
    <w:rsid w:val="004540A8"/>
    <w:rsid w:val="00455716"/>
    <w:rsid w:val="00464870"/>
    <w:rsid w:val="0046640C"/>
    <w:rsid w:val="00466C4C"/>
    <w:rsid w:val="0046760E"/>
    <w:rsid w:val="00467D98"/>
    <w:rsid w:val="004746CB"/>
    <w:rsid w:val="004752F2"/>
    <w:rsid w:val="004757C9"/>
    <w:rsid w:val="00475E94"/>
    <w:rsid w:val="004769CB"/>
    <w:rsid w:val="00480831"/>
    <w:rsid w:val="0048616B"/>
    <w:rsid w:val="00490623"/>
    <w:rsid w:val="004922F9"/>
    <w:rsid w:val="00496963"/>
    <w:rsid w:val="00496B39"/>
    <w:rsid w:val="0049795B"/>
    <w:rsid w:val="004A0892"/>
    <w:rsid w:val="004A3FB1"/>
    <w:rsid w:val="004A45ED"/>
    <w:rsid w:val="004B28D9"/>
    <w:rsid w:val="004B647D"/>
    <w:rsid w:val="004C127E"/>
    <w:rsid w:val="004C2E95"/>
    <w:rsid w:val="004C3896"/>
    <w:rsid w:val="004C3AB4"/>
    <w:rsid w:val="004C419C"/>
    <w:rsid w:val="004D2D09"/>
    <w:rsid w:val="004D4F11"/>
    <w:rsid w:val="004D7DB2"/>
    <w:rsid w:val="004E13E0"/>
    <w:rsid w:val="004E1932"/>
    <w:rsid w:val="004E2433"/>
    <w:rsid w:val="004E2B58"/>
    <w:rsid w:val="004E3CC2"/>
    <w:rsid w:val="004E5F6B"/>
    <w:rsid w:val="004E6CB5"/>
    <w:rsid w:val="004F05C7"/>
    <w:rsid w:val="004F0601"/>
    <w:rsid w:val="004F09E4"/>
    <w:rsid w:val="004F26C2"/>
    <w:rsid w:val="004F637E"/>
    <w:rsid w:val="004F6FB1"/>
    <w:rsid w:val="00500B3E"/>
    <w:rsid w:val="00501100"/>
    <w:rsid w:val="005012D8"/>
    <w:rsid w:val="00501D5F"/>
    <w:rsid w:val="005028BB"/>
    <w:rsid w:val="005077D0"/>
    <w:rsid w:val="005136D1"/>
    <w:rsid w:val="00515A3D"/>
    <w:rsid w:val="005216B8"/>
    <w:rsid w:val="00531C44"/>
    <w:rsid w:val="00533867"/>
    <w:rsid w:val="00533F1A"/>
    <w:rsid w:val="00534601"/>
    <w:rsid w:val="00540E69"/>
    <w:rsid w:val="0054395F"/>
    <w:rsid w:val="0054511D"/>
    <w:rsid w:val="0055148D"/>
    <w:rsid w:val="005529DF"/>
    <w:rsid w:val="0055326F"/>
    <w:rsid w:val="0055549F"/>
    <w:rsid w:val="00556D89"/>
    <w:rsid w:val="00557542"/>
    <w:rsid w:val="00560C9F"/>
    <w:rsid w:val="00562333"/>
    <w:rsid w:val="00570037"/>
    <w:rsid w:val="00570222"/>
    <w:rsid w:val="00570762"/>
    <w:rsid w:val="00571CFB"/>
    <w:rsid w:val="00572862"/>
    <w:rsid w:val="00572B3F"/>
    <w:rsid w:val="00581907"/>
    <w:rsid w:val="005821FF"/>
    <w:rsid w:val="005837A5"/>
    <w:rsid w:val="005851DA"/>
    <w:rsid w:val="0059023F"/>
    <w:rsid w:val="0059251E"/>
    <w:rsid w:val="005962B3"/>
    <w:rsid w:val="005A1CEE"/>
    <w:rsid w:val="005A271F"/>
    <w:rsid w:val="005A4561"/>
    <w:rsid w:val="005A47F4"/>
    <w:rsid w:val="005A55D7"/>
    <w:rsid w:val="005B3177"/>
    <w:rsid w:val="005B387A"/>
    <w:rsid w:val="005B5E05"/>
    <w:rsid w:val="005C02A0"/>
    <w:rsid w:val="005C0394"/>
    <w:rsid w:val="005C2773"/>
    <w:rsid w:val="005C4819"/>
    <w:rsid w:val="005E095A"/>
    <w:rsid w:val="005E1EE8"/>
    <w:rsid w:val="005E3DEA"/>
    <w:rsid w:val="005E3EFF"/>
    <w:rsid w:val="005E5C9D"/>
    <w:rsid w:val="005E60E6"/>
    <w:rsid w:val="005E7386"/>
    <w:rsid w:val="005F4B03"/>
    <w:rsid w:val="005F551C"/>
    <w:rsid w:val="00601271"/>
    <w:rsid w:val="006025EB"/>
    <w:rsid w:val="006048B2"/>
    <w:rsid w:val="00604B28"/>
    <w:rsid w:val="00604DC1"/>
    <w:rsid w:val="00606219"/>
    <w:rsid w:val="00612CFC"/>
    <w:rsid w:val="00613289"/>
    <w:rsid w:val="00613BB7"/>
    <w:rsid w:val="0061574F"/>
    <w:rsid w:val="00617683"/>
    <w:rsid w:val="00622CBD"/>
    <w:rsid w:val="00626069"/>
    <w:rsid w:val="006264B8"/>
    <w:rsid w:val="00642C5A"/>
    <w:rsid w:val="00643224"/>
    <w:rsid w:val="006454FD"/>
    <w:rsid w:val="00654B58"/>
    <w:rsid w:val="00655238"/>
    <w:rsid w:val="00666863"/>
    <w:rsid w:val="0066709C"/>
    <w:rsid w:val="006670FA"/>
    <w:rsid w:val="00671912"/>
    <w:rsid w:val="00671940"/>
    <w:rsid w:val="006745B9"/>
    <w:rsid w:val="0067551B"/>
    <w:rsid w:val="00677608"/>
    <w:rsid w:val="0067793B"/>
    <w:rsid w:val="00685466"/>
    <w:rsid w:val="00686E4E"/>
    <w:rsid w:val="006875CB"/>
    <w:rsid w:val="00693392"/>
    <w:rsid w:val="006934B0"/>
    <w:rsid w:val="006934D1"/>
    <w:rsid w:val="0069568F"/>
    <w:rsid w:val="00696774"/>
    <w:rsid w:val="0069758A"/>
    <w:rsid w:val="006A52AB"/>
    <w:rsid w:val="006A62C4"/>
    <w:rsid w:val="006A72F2"/>
    <w:rsid w:val="006B0FDD"/>
    <w:rsid w:val="006B3C20"/>
    <w:rsid w:val="006C0C40"/>
    <w:rsid w:val="006C3899"/>
    <w:rsid w:val="006C41D8"/>
    <w:rsid w:val="006C4848"/>
    <w:rsid w:val="006C4FA0"/>
    <w:rsid w:val="006D1BD7"/>
    <w:rsid w:val="006D3556"/>
    <w:rsid w:val="006D42A0"/>
    <w:rsid w:val="006E0840"/>
    <w:rsid w:val="006E230B"/>
    <w:rsid w:val="006E2E69"/>
    <w:rsid w:val="006E5967"/>
    <w:rsid w:val="006E5BC6"/>
    <w:rsid w:val="006E77E2"/>
    <w:rsid w:val="006F163F"/>
    <w:rsid w:val="006F3784"/>
    <w:rsid w:val="006F49DD"/>
    <w:rsid w:val="006F7C1D"/>
    <w:rsid w:val="007024DE"/>
    <w:rsid w:val="00704B25"/>
    <w:rsid w:val="00706F7E"/>
    <w:rsid w:val="0071225C"/>
    <w:rsid w:val="007133F6"/>
    <w:rsid w:val="00715BE3"/>
    <w:rsid w:val="00717EEF"/>
    <w:rsid w:val="00725F04"/>
    <w:rsid w:val="007267D0"/>
    <w:rsid w:val="007268B5"/>
    <w:rsid w:val="00727E00"/>
    <w:rsid w:val="0074006D"/>
    <w:rsid w:val="0074031D"/>
    <w:rsid w:val="00740C6E"/>
    <w:rsid w:val="007457A0"/>
    <w:rsid w:val="00746E5A"/>
    <w:rsid w:val="00751A58"/>
    <w:rsid w:val="00755071"/>
    <w:rsid w:val="00755E69"/>
    <w:rsid w:val="007568E7"/>
    <w:rsid w:val="00762C08"/>
    <w:rsid w:val="0076391B"/>
    <w:rsid w:val="00764609"/>
    <w:rsid w:val="007657DE"/>
    <w:rsid w:val="0077097F"/>
    <w:rsid w:val="00772A26"/>
    <w:rsid w:val="00773458"/>
    <w:rsid w:val="00773ACC"/>
    <w:rsid w:val="00775DD9"/>
    <w:rsid w:val="00776D1A"/>
    <w:rsid w:val="0077793B"/>
    <w:rsid w:val="00782405"/>
    <w:rsid w:val="00785309"/>
    <w:rsid w:val="00786749"/>
    <w:rsid w:val="00787CC7"/>
    <w:rsid w:val="007A1140"/>
    <w:rsid w:val="007A400C"/>
    <w:rsid w:val="007A5812"/>
    <w:rsid w:val="007B24FC"/>
    <w:rsid w:val="007B2869"/>
    <w:rsid w:val="007C3413"/>
    <w:rsid w:val="007C48B1"/>
    <w:rsid w:val="007C7ADC"/>
    <w:rsid w:val="007D1E51"/>
    <w:rsid w:val="007D35E0"/>
    <w:rsid w:val="007D426B"/>
    <w:rsid w:val="007D7E77"/>
    <w:rsid w:val="007E3FC4"/>
    <w:rsid w:val="007E4433"/>
    <w:rsid w:val="007E4921"/>
    <w:rsid w:val="007E52F1"/>
    <w:rsid w:val="007E58EC"/>
    <w:rsid w:val="007F4EDA"/>
    <w:rsid w:val="00800731"/>
    <w:rsid w:val="00801F77"/>
    <w:rsid w:val="00804B05"/>
    <w:rsid w:val="00806B86"/>
    <w:rsid w:val="00807E5D"/>
    <w:rsid w:val="008110A3"/>
    <w:rsid w:val="00811646"/>
    <w:rsid w:val="0081241A"/>
    <w:rsid w:val="00813BF7"/>
    <w:rsid w:val="00816211"/>
    <w:rsid w:val="0082171B"/>
    <w:rsid w:val="008224B0"/>
    <w:rsid w:val="00826331"/>
    <w:rsid w:val="00827633"/>
    <w:rsid w:val="00827CC9"/>
    <w:rsid w:val="008345BF"/>
    <w:rsid w:val="008354C1"/>
    <w:rsid w:val="008406FF"/>
    <w:rsid w:val="0084235A"/>
    <w:rsid w:val="008445F0"/>
    <w:rsid w:val="008463D7"/>
    <w:rsid w:val="0084647D"/>
    <w:rsid w:val="008524F5"/>
    <w:rsid w:val="008533A7"/>
    <w:rsid w:val="00854D45"/>
    <w:rsid w:val="0085597D"/>
    <w:rsid w:val="008613BF"/>
    <w:rsid w:val="00862521"/>
    <w:rsid w:val="00862B91"/>
    <w:rsid w:val="00864A91"/>
    <w:rsid w:val="00865008"/>
    <w:rsid w:val="008657EB"/>
    <w:rsid w:val="008658CD"/>
    <w:rsid w:val="00865CC7"/>
    <w:rsid w:val="00866BC7"/>
    <w:rsid w:val="00870F5C"/>
    <w:rsid w:val="00871086"/>
    <w:rsid w:val="00872434"/>
    <w:rsid w:val="0087270E"/>
    <w:rsid w:val="00873DB3"/>
    <w:rsid w:val="00874713"/>
    <w:rsid w:val="00875F04"/>
    <w:rsid w:val="008762E6"/>
    <w:rsid w:val="0087746C"/>
    <w:rsid w:val="00881C0D"/>
    <w:rsid w:val="00884B59"/>
    <w:rsid w:val="00886A0B"/>
    <w:rsid w:val="008930BA"/>
    <w:rsid w:val="0089663B"/>
    <w:rsid w:val="008A0B75"/>
    <w:rsid w:val="008A25E4"/>
    <w:rsid w:val="008A26C6"/>
    <w:rsid w:val="008A68BB"/>
    <w:rsid w:val="008A7447"/>
    <w:rsid w:val="008A7D31"/>
    <w:rsid w:val="008B30BB"/>
    <w:rsid w:val="008B3C89"/>
    <w:rsid w:val="008B5EED"/>
    <w:rsid w:val="008C1D60"/>
    <w:rsid w:val="008C2BB7"/>
    <w:rsid w:val="008C5AC6"/>
    <w:rsid w:val="008C72CD"/>
    <w:rsid w:val="008D22AD"/>
    <w:rsid w:val="008D587E"/>
    <w:rsid w:val="008D78F8"/>
    <w:rsid w:val="008E2854"/>
    <w:rsid w:val="008E2AA0"/>
    <w:rsid w:val="008E301D"/>
    <w:rsid w:val="008E3290"/>
    <w:rsid w:val="008E534F"/>
    <w:rsid w:val="008E5C59"/>
    <w:rsid w:val="008F07CF"/>
    <w:rsid w:val="008F1E75"/>
    <w:rsid w:val="008F2DAA"/>
    <w:rsid w:val="008F4C2B"/>
    <w:rsid w:val="008F6B95"/>
    <w:rsid w:val="0090261D"/>
    <w:rsid w:val="00916AFB"/>
    <w:rsid w:val="00921E36"/>
    <w:rsid w:val="00923FA7"/>
    <w:rsid w:val="0092490E"/>
    <w:rsid w:val="00924E4F"/>
    <w:rsid w:val="0092655F"/>
    <w:rsid w:val="00927AB6"/>
    <w:rsid w:val="00934E06"/>
    <w:rsid w:val="0093537C"/>
    <w:rsid w:val="00937991"/>
    <w:rsid w:val="00937DE2"/>
    <w:rsid w:val="00945E0C"/>
    <w:rsid w:val="0094654D"/>
    <w:rsid w:val="0095078F"/>
    <w:rsid w:val="00950B5D"/>
    <w:rsid w:val="00956E9F"/>
    <w:rsid w:val="00965668"/>
    <w:rsid w:val="00965F47"/>
    <w:rsid w:val="00970784"/>
    <w:rsid w:val="00971C51"/>
    <w:rsid w:val="00977E61"/>
    <w:rsid w:val="00981417"/>
    <w:rsid w:val="009875AE"/>
    <w:rsid w:val="00994499"/>
    <w:rsid w:val="00994D70"/>
    <w:rsid w:val="00995725"/>
    <w:rsid w:val="00996465"/>
    <w:rsid w:val="00996809"/>
    <w:rsid w:val="009A129A"/>
    <w:rsid w:val="009A4768"/>
    <w:rsid w:val="009A6377"/>
    <w:rsid w:val="009B0578"/>
    <w:rsid w:val="009B3539"/>
    <w:rsid w:val="009B3548"/>
    <w:rsid w:val="009B590D"/>
    <w:rsid w:val="009B7BD7"/>
    <w:rsid w:val="009B7E73"/>
    <w:rsid w:val="009C0E09"/>
    <w:rsid w:val="009D2FEA"/>
    <w:rsid w:val="009D31FF"/>
    <w:rsid w:val="009D38E4"/>
    <w:rsid w:val="009E0A0C"/>
    <w:rsid w:val="009E0E0B"/>
    <w:rsid w:val="009E59AC"/>
    <w:rsid w:val="009E5BBF"/>
    <w:rsid w:val="009E7519"/>
    <w:rsid w:val="009E7FDD"/>
    <w:rsid w:val="009F40D5"/>
    <w:rsid w:val="009F64CD"/>
    <w:rsid w:val="009F6EC1"/>
    <w:rsid w:val="009F7A06"/>
    <w:rsid w:val="00A02CBA"/>
    <w:rsid w:val="00A02FD4"/>
    <w:rsid w:val="00A037D4"/>
    <w:rsid w:val="00A04F53"/>
    <w:rsid w:val="00A04FC9"/>
    <w:rsid w:val="00A103F4"/>
    <w:rsid w:val="00A14559"/>
    <w:rsid w:val="00A1477E"/>
    <w:rsid w:val="00A150B9"/>
    <w:rsid w:val="00A15690"/>
    <w:rsid w:val="00A168FC"/>
    <w:rsid w:val="00A16AE9"/>
    <w:rsid w:val="00A22D2A"/>
    <w:rsid w:val="00A34496"/>
    <w:rsid w:val="00A40F33"/>
    <w:rsid w:val="00A4470B"/>
    <w:rsid w:val="00A44B57"/>
    <w:rsid w:val="00A47264"/>
    <w:rsid w:val="00A500DC"/>
    <w:rsid w:val="00A5120D"/>
    <w:rsid w:val="00A522D0"/>
    <w:rsid w:val="00A56399"/>
    <w:rsid w:val="00A6126E"/>
    <w:rsid w:val="00A63B08"/>
    <w:rsid w:val="00A64F83"/>
    <w:rsid w:val="00A65FC5"/>
    <w:rsid w:val="00A6711C"/>
    <w:rsid w:val="00A7038D"/>
    <w:rsid w:val="00A741BA"/>
    <w:rsid w:val="00A745E0"/>
    <w:rsid w:val="00A861BD"/>
    <w:rsid w:val="00A86882"/>
    <w:rsid w:val="00A9264B"/>
    <w:rsid w:val="00A93354"/>
    <w:rsid w:val="00A944A9"/>
    <w:rsid w:val="00A96680"/>
    <w:rsid w:val="00AA028C"/>
    <w:rsid w:val="00AA4709"/>
    <w:rsid w:val="00AA4E31"/>
    <w:rsid w:val="00AA558C"/>
    <w:rsid w:val="00AA6C14"/>
    <w:rsid w:val="00AA732B"/>
    <w:rsid w:val="00AA7C36"/>
    <w:rsid w:val="00AB0CA2"/>
    <w:rsid w:val="00AB2FDB"/>
    <w:rsid w:val="00AB7947"/>
    <w:rsid w:val="00AC0653"/>
    <w:rsid w:val="00AC3469"/>
    <w:rsid w:val="00AC4D06"/>
    <w:rsid w:val="00AC60A5"/>
    <w:rsid w:val="00AD0ACD"/>
    <w:rsid w:val="00AD38AC"/>
    <w:rsid w:val="00AD3D2F"/>
    <w:rsid w:val="00AD4446"/>
    <w:rsid w:val="00AD6E99"/>
    <w:rsid w:val="00AE0018"/>
    <w:rsid w:val="00AE0329"/>
    <w:rsid w:val="00AE1363"/>
    <w:rsid w:val="00AE3301"/>
    <w:rsid w:val="00AF45B3"/>
    <w:rsid w:val="00AF5B9C"/>
    <w:rsid w:val="00AF649A"/>
    <w:rsid w:val="00AF66E9"/>
    <w:rsid w:val="00AF72BB"/>
    <w:rsid w:val="00AF7918"/>
    <w:rsid w:val="00B01DEB"/>
    <w:rsid w:val="00B03AD7"/>
    <w:rsid w:val="00B0595D"/>
    <w:rsid w:val="00B05BAD"/>
    <w:rsid w:val="00B06544"/>
    <w:rsid w:val="00B117D1"/>
    <w:rsid w:val="00B132BB"/>
    <w:rsid w:val="00B146F7"/>
    <w:rsid w:val="00B15167"/>
    <w:rsid w:val="00B1577F"/>
    <w:rsid w:val="00B16AE8"/>
    <w:rsid w:val="00B17B37"/>
    <w:rsid w:val="00B21284"/>
    <w:rsid w:val="00B21F5B"/>
    <w:rsid w:val="00B26066"/>
    <w:rsid w:val="00B27759"/>
    <w:rsid w:val="00B30D79"/>
    <w:rsid w:val="00B31A8E"/>
    <w:rsid w:val="00B32E8B"/>
    <w:rsid w:val="00B34D32"/>
    <w:rsid w:val="00B4264F"/>
    <w:rsid w:val="00B43AEA"/>
    <w:rsid w:val="00B44EB6"/>
    <w:rsid w:val="00B47AE6"/>
    <w:rsid w:val="00B47BE4"/>
    <w:rsid w:val="00B50ECF"/>
    <w:rsid w:val="00B52452"/>
    <w:rsid w:val="00B53606"/>
    <w:rsid w:val="00B5513C"/>
    <w:rsid w:val="00B566D3"/>
    <w:rsid w:val="00B612E8"/>
    <w:rsid w:val="00B64CA5"/>
    <w:rsid w:val="00B65363"/>
    <w:rsid w:val="00B6601C"/>
    <w:rsid w:val="00B66273"/>
    <w:rsid w:val="00B6662E"/>
    <w:rsid w:val="00B72BDE"/>
    <w:rsid w:val="00B73C00"/>
    <w:rsid w:val="00B73F35"/>
    <w:rsid w:val="00B74161"/>
    <w:rsid w:val="00B75807"/>
    <w:rsid w:val="00B80D33"/>
    <w:rsid w:val="00B8349B"/>
    <w:rsid w:val="00B8430E"/>
    <w:rsid w:val="00B848B2"/>
    <w:rsid w:val="00B84927"/>
    <w:rsid w:val="00B90910"/>
    <w:rsid w:val="00BA1E83"/>
    <w:rsid w:val="00BA3331"/>
    <w:rsid w:val="00BA4E85"/>
    <w:rsid w:val="00BA5727"/>
    <w:rsid w:val="00BA5E46"/>
    <w:rsid w:val="00BB085D"/>
    <w:rsid w:val="00BB1F36"/>
    <w:rsid w:val="00BC21A9"/>
    <w:rsid w:val="00BC3156"/>
    <w:rsid w:val="00BC3277"/>
    <w:rsid w:val="00BC4DCE"/>
    <w:rsid w:val="00BC761B"/>
    <w:rsid w:val="00BD503B"/>
    <w:rsid w:val="00BE0C1A"/>
    <w:rsid w:val="00BE47A3"/>
    <w:rsid w:val="00BE6484"/>
    <w:rsid w:val="00BE7A28"/>
    <w:rsid w:val="00BF083A"/>
    <w:rsid w:val="00BF0914"/>
    <w:rsid w:val="00BF50B8"/>
    <w:rsid w:val="00C01CED"/>
    <w:rsid w:val="00C02201"/>
    <w:rsid w:val="00C03625"/>
    <w:rsid w:val="00C05A2F"/>
    <w:rsid w:val="00C06791"/>
    <w:rsid w:val="00C11F61"/>
    <w:rsid w:val="00C2110A"/>
    <w:rsid w:val="00C2204C"/>
    <w:rsid w:val="00C224B7"/>
    <w:rsid w:val="00C23574"/>
    <w:rsid w:val="00C2678F"/>
    <w:rsid w:val="00C274BC"/>
    <w:rsid w:val="00C317DD"/>
    <w:rsid w:val="00C33784"/>
    <w:rsid w:val="00C35D91"/>
    <w:rsid w:val="00C371B5"/>
    <w:rsid w:val="00C409C4"/>
    <w:rsid w:val="00C51A68"/>
    <w:rsid w:val="00C52141"/>
    <w:rsid w:val="00C54E50"/>
    <w:rsid w:val="00C57DB8"/>
    <w:rsid w:val="00C602FC"/>
    <w:rsid w:val="00C60A21"/>
    <w:rsid w:val="00C61D6B"/>
    <w:rsid w:val="00C623C2"/>
    <w:rsid w:val="00C62416"/>
    <w:rsid w:val="00C65C4F"/>
    <w:rsid w:val="00C6692C"/>
    <w:rsid w:val="00C70C76"/>
    <w:rsid w:val="00C80E3E"/>
    <w:rsid w:val="00C820C2"/>
    <w:rsid w:val="00C83D03"/>
    <w:rsid w:val="00C85B5A"/>
    <w:rsid w:val="00C9200E"/>
    <w:rsid w:val="00C92299"/>
    <w:rsid w:val="00C94AD8"/>
    <w:rsid w:val="00C94B57"/>
    <w:rsid w:val="00C9515F"/>
    <w:rsid w:val="00C95E25"/>
    <w:rsid w:val="00C96D00"/>
    <w:rsid w:val="00C975D6"/>
    <w:rsid w:val="00CA1038"/>
    <w:rsid w:val="00CA148D"/>
    <w:rsid w:val="00CA1A31"/>
    <w:rsid w:val="00CA1CAD"/>
    <w:rsid w:val="00CA2A7B"/>
    <w:rsid w:val="00CA2BC0"/>
    <w:rsid w:val="00CA520D"/>
    <w:rsid w:val="00CB0034"/>
    <w:rsid w:val="00CB123A"/>
    <w:rsid w:val="00CB330A"/>
    <w:rsid w:val="00CB6A23"/>
    <w:rsid w:val="00CB6DDD"/>
    <w:rsid w:val="00CB7FD5"/>
    <w:rsid w:val="00CC31FB"/>
    <w:rsid w:val="00CC57B8"/>
    <w:rsid w:val="00CD481F"/>
    <w:rsid w:val="00CD73A7"/>
    <w:rsid w:val="00CE1B1F"/>
    <w:rsid w:val="00CE1E4D"/>
    <w:rsid w:val="00CE4084"/>
    <w:rsid w:val="00CE4461"/>
    <w:rsid w:val="00CE61BB"/>
    <w:rsid w:val="00CE7FE6"/>
    <w:rsid w:val="00CF0407"/>
    <w:rsid w:val="00CF138F"/>
    <w:rsid w:val="00CF158D"/>
    <w:rsid w:val="00CF2434"/>
    <w:rsid w:val="00CF4E08"/>
    <w:rsid w:val="00CF562C"/>
    <w:rsid w:val="00CF6F45"/>
    <w:rsid w:val="00D0073D"/>
    <w:rsid w:val="00D00959"/>
    <w:rsid w:val="00D00D6B"/>
    <w:rsid w:val="00D039C6"/>
    <w:rsid w:val="00D0411D"/>
    <w:rsid w:val="00D065EF"/>
    <w:rsid w:val="00D06984"/>
    <w:rsid w:val="00D1625C"/>
    <w:rsid w:val="00D17614"/>
    <w:rsid w:val="00D212F5"/>
    <w:rsid w:val="00D26AAD"/>
    <w:rsid w:val="00D27508"/>
    <w:rsid w:val="00D2751E"/>
    <w:rsid w:val="00D277CA"/>
    <w:rsid w:val="00D30F96"/>
    <w:rsid w:val="00D32365"/>
    <w:rsid w:val="00D33BB4"/>
    <w:rsid w:val="00D352FF"/>
    <w:rsid w:val="00D35E56"/>
    <w:rsid w:val="00D36C59"/>
    <w:rsid w:val="00D40336"/>
    <w:rsid w:val="00D41FD6"/>
    <w:rsid w:val="00D52EBF"/>
    <w:rsid w:val="00D5420C"/>
    <w:rsid w:val="00D54322"/>
    <w:rsid w:val="00D6143E"/>
    <w:rsid w:val="00D63929"/>
    <w:rsid w:val="00D67C10"/>
    <w:rsid w:val="00D73853"/>
    <w:rsid w:val="00D74172"/>
    <w:rsid w:val="00D806CE"/>
    <w:rsid w:val="00D8098E"/>
    <w:rsid w:val="00D85F65"/>
    <w:rsid w:val="00D86BB6"/>
    <w:rsid w:val="00D8753D"/>
    <w:rsid w:val="00D90CE9"/>
    <w:rsid w:val="00D91131"/>
    <w:rsid w:val="00D94027"/>
    <w:rsid w:val="00D94E29"/>
    <w:rsid w:val="00D9547A"/>
    <w:rsid w:val="00D97AE9"/>
    <w:rsid w:val="00DA0A65"/>
    <w:rsid w:val="00DA1429"/>
    <w:rsid w:val="00DA3E45"/>
    <w:rsid w:val="00DA57E7"/>
    <w:rsid w:val="00DB11C6"/>
    <w:rsid w:val="00DB2C9C"/>
    <w:rsid w:val="00DB306C"/>
    <w:rsid w:val="00DC0100"/>
    <w:rsid w:val="00DC2AD7"/>
    <w:rsid w:val="00DC33F5"/>
    <w:rsid w:val="00DC36A4"/>
    <w:rsid w:val="00DC38A3"/>
    <w:rsid w:val="00DC3CBD"/>
    <w:rsid w:val="00DC3F79"/>
    <w:rsid w:val="00DC42E1"/>
    <w:rsid w:val="00DC5545"/>
    <w:rsid w:val="00DC69DA"/>
    <w:rsid w:val="00DC6DBC"/>
    <w:rsid w:val="00DD02F2"/>
    <w:rsid w:val="00DD1E54"/>
    <w:rsid w:val="00DD2C35"/>
    <w:rsid w:val="00DD3552"/>
    <w:rsid w:val="00DD7F6F"/>
    <w:rsid w:val="00DE0F69"/>
    <w:rsid w:val="00DE16D7"/>
    <w:rsid w:val="00DE33D0"/>
    <w:rsid w:val="00DE4DD7"/>
    <w:rsid w:val="00DE56EE"/>
    <w:rsid w:val="00DE5F91"/>
    <w:rsid w:val="00DE7CB6"/>
    <w:rsid w:val="00DF146C"/>
    <w:rsid w:val="00DF5841"/>
    <w:rsid w:val="00DF6F44"/>
    <w:rsid w:val="00DF7D8F"/>
    <w:rsid w:val="00E01823"/>
    <w:rsid w:val="00E019A5"/>
    <w:rsid w:val="00E04EDC"/>
    <w:rsid w:val="00E11EDE"/>
    <w:rsid w:val="00E13FAE"/>
    <w:rsid w:val="00E20879"/>
    <w:rsid w:val="00E20AC5"/>
    <w:rsid w:val="00E21773"/>
    <w:rsid w:val="00E24491"/>
    <w:rsid w:val="00E34A74"/>
    <w:rsid w:val="00E34A95"/>
    <w:rsid w:val="00E354D4"/>
    <w:rsid w:val="00E375D0"/>
    <w:rsid w:val="00E402EA"/>
    <w:rsid w:val="00E41792"/>
    <w:rsid w:val="00E425C3"/>
    <w:rsid w:val="00E43701"/>
    <w:rsid w:val="00E464E8"/>
    <w:rsid w:val="00E50F07"/>
    <w:rsid w:val="00E50F64"/>
    <w:rsid w:val="00E576E8"/>
    <w:rsid w:val="00E60707"/>
    <w:rsid w:val="00E62B30"/>
    <w:rsid w:val="00E62E6C"/>
    <w:rsid w:val="00E66669"/>
    <w:rsid w:val="00E66B60"/>
    <w:rsid w:val="00E677A5"/>
    <w:rsid w:val="00E82FAD"/>
    <w:rsid w:val="00E83297"/>
    <w:rsid w:val="00E840B1"/>
    <w:rsid w:val="00E870BD"/>
    <w:rsid w:val="00E9180A"/>
    <w:rsid w:val="00EA04EA"/>
    <w:rsid w:val="00EA1AC3"/>
    <w:rsid w:val="00EA4DCC"/>
    <w:rsid w:val="00EA4FB7"/>
    <w:rsid w:val="00EB0E99"/>
    <w:rsid w:val="00EB1264"/>
    <w:rsid w:val="00EB16FD"/>
    <w:rsid w:val="00EB226A"/>
    <w:rsid w:val="00EB7426"/>
    <w:rsid w:val="00EB77E7"/>
    <w:rsid w:val="00EC1EC9"/>
    <w:rsid w:val="00EC2655"/>
    <w:rsid w:val="00EC7F80"/>
    <w:rsid w:val="00ED1AC9"/>
    <w:rsid w:val="00ED5926"/>
    <w:rsid w:val="00ED6D8C"/>
    <w:rsid w:val="00ED710D"/>
    <w:rsid w:val="00ED7A98"/>
    <w:rsid w:val="00EE2354"/>
    <w:rsid w:val="00EE40BB"/>
    <w:rsid w:val="00EE4871"/>
    <w:rsid w:val="00EE5FAE"/>
    <w:rsid w:val="00EE6A76"/>
    <w:rsid w:val="00EF0539"/>
    <w:rsid w:val="00EF361D"/>
    <w:rsid w:val="00EF3D90"/>
    <w:rsid w:val="00EF72FA"/>
    <w:rsid w:val="00F005CE"/>
    <w:rsid w:val="00F0320E"/>
    <w:rsid w:val="00F0712E"/>
    <w:rsid w:val="00F13391"/>
    <w:rsid w:val="00F15A28"/>
    <w:rsid w:val="00F15F23"/>
    <w:rsid w:val="00F16ABE"/>
    <w:rsid w:val="00F174FA"/>
    <w:rsid w:val="00F17E44"/>
    <w:rsid w:val="00F30202"/>
    <w:rsid w:val="00F32C3D"/>
    <w:rsid w:val="00F3607F"/>
    <w:rsid w:val="00F3776A"/>
    <w:rsid w:val="00F406C5"/>
    <w:rsid w:val="00F43E6B"/>
    <w:rsid w:val="00F44A25"/>
    <w:rsid w:val="00F4591D"/>
    <w:rsid w:val="00F52EFD"/>
    <w:rsid w:val="00F54CC0"/>
    <w:rsid w:val="00F56C7A"/>
    <w:rsid w:val="00F573B5"/>
    <w:rsid w:val="00F64C7F"/>
    <w:rsid w:val="00F66621"/>
    <w:rsid w:val="00F66CB2"/>
    <w:rsid w:val="00F67AED"/>
    <w:rsid w:val="00F734E8"/>
    <w:rsid w:val="00F748D3"/>
    <w:rsid w:val="00F76242"/>
    <w:rsid w:val="00F76396"/>
    <w:rsid w:val="00F827EA"/>
    <w:rsid w:val="00F83579"/>
    <w:rsid w:val="00F85923"/>
    <w:rsid w:val="00F87F32"/>
    <w:rsid w:val="00F913D4"/>
    <w:rsid w:val="00FA16ED"/>
    <w:rsid w:val="00FA1705"/>
    <w:rsid w:val="00FA1E2E"/>
    <w:rsid w:val="00FA5E3B"/>
    <w:rsid w:val="00FB3BA5"/>
    <w:rsid w:val="00FB3BB5"/>
    <w:rsid w:val="00FB53B4"/>
    <w:rsid w:val="00FC2BDD"/>
    <w:rsid w:val="00FC3E8A"/>
    <w:rsid w:val="00FC522B"/>
    <w:rsid w:val="00FC6B8B"/>
    <w:rsid w:val="00FD20DD"/>
    <w:rsid w:val="00FD2169"/>
    <w:rsid w:val="00FE0F1E"/>
    <w:rsid w:val="00FE14F1"/>
    <w:rsid w:val="00FE4C94"/>
    <w:rsid w:val="00FE738B"/>
    <w:rsid w:val="00FF0CB5"/>
    <w:rsid w:val="00FF139C"/>
    <w:rsid w:val="00FF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1E47353"/>
  <w15:docId w15:val="{D3640659-473C-4182-BED8-B6F15B25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D18"/>
    <w:rPr>
      <w:rFonts w:ascii="Courier" w:hAnsi="Courier"/>
      <w:sz w:val="24"/>
      <w:szCs w:val="24"/>
    </w:rPr>
  </w:style>
  <w:style w:type="paragraph" w:styleId="Heading1">
    <w:name w:val="heading 1"/>
    <w:basedOn w:val="Normal"/>
    <w:next w:val="Normal"/>
    <w:link w:val="Heading1Char"/>
    <w:uiPriority w:val="99"/>
    <w:qFormat/>
    <w:rsid w:val="007E58E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E58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E58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625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1625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1625C"/>
    <w:rPr>
      <w:rFonts w:ascii="Cambria" w:hAnsi="Cambria" w:cs="Times New Roman"/>
      <w:b/>
      <w:bCs/>
      <w:sz w:val="26"/>
      <w:szCs w:val="26"/>
    </w:rPr>
  </w:style>
  <w:style w:type="paragraph" w:customStyle="1" w:styleId="TRWPPgSubHead">
    <w:name w:val="TR_WP_PgSubHead"/>
    <w:basedOn w:val="Normal"/>
    <w:rsid w:val="00E62E6C"/>
    <w:pPr>
      <w:spacing w:before="360" w:after="240" w:line="360" w:lineRule="exact"/>
    </w:pPr>
    <w:rPr>
      <w:rFonts w:ascii="Arial" w:hAnsi="Arial" w:cs="Arial"/>
      <w:color w:val="666666"/>
      <w:sz w:val="36"/>
      <w:szCs w:val="36"/>
    </w:rPr>
  </w:style>
  <w:style w:type="paragraph" w:customStyle="1" w:styleId="TRWPTxtHead">
    <w:name w:val="TR_WP_TxtHead"/>
    <w:basedOn w:val="Normal"/>
    <w:uiPriority w:val="99"/>
    <w:rsid w:val="00685466"/>
    <w:pPr>
      <w:spacing w:before="120" w:after="60"/>
    </w:pPr>
    <w:rPr>
      <w:rFonts w:ascii="Arial" w:hAnsi="Arial" w:cs="Arial"/>
      <w:b/>
      <w:color w:val="005A84"/>
      <w:sz w:val="20"/>
      <w:szCs w:val="20"/>
    </w:rPr>
  </w:style>
  <w:style w:type="paragraph" w:customStyle="1" w:styleId="TRWPTxt">
    <w:name w:val="TR_WP_Txt"/>
    <w:basedOn w:val="Normal"/>
    <w:link w:val="TRWPTxtChar"/>
    <w:rsid w:val="000E3BE9"/>
    <w:pPr>
      <w:spacing w:after="120"/>
    </w:pPr>
    <w:rPr>
      <w:rFonts w:ascii="Arial" w:hAnsi="Arial" w:cs="Arial"/>
      <w:color w:val="666666"/>
      <w:sz w:val="20"/>
      <w:szCs w:val="20"/>
    </w:rPr>
  </w:style>
  <w:style w:type="paragraph" w:styleId="Footer">
    <w:name w:val="footer"/>
    <w:basedOn w:val="Normal"/>
    <w:link w:val="FooterChar"/>
    <w:uiPriority w:val="99"/>
    <w:semiHidden/>
    <w:rsid w:val="00CC31FB"/>
    <w:pPr>
      <w:tabs>
        <w:tab w:val="center" w:pos="4320"/>
        <w:tab w:val="right" w:pos="8640"/>
      </w:tabs>
    </w:pPr>
  </w:style>
  <w:style w:type="character" w:customStyle="1" w:styleId="FooterChar">
    <w:name w:val="Footer Char"/>
    <w:basedOn w:val="DefaultParagraphFont"/>
    <w:link w:val="Footer"/>
    <w:uiPriority w:val="99"/>
    <w:semiHidden/>
    <w:locked/>
    <w:rsid w:val="00D1625C"/>
    <w:rPr>
      <w:rFonts w:ascii="Courier" w:hAnsi="Courier" w:cs="Times New Roman"/>
      <w:sz w:val="24"/>
      <w:szCs w:val="24"/>
    </w:rPr>
  </w:style>
  <w:style w:type="paragraph" w:styleId="Header">
    <w:name w:val="header"/>
    <w:basedOn w:val="Normal"/>
    <w:link w:val="HeaderChar"/>
    <w:uiPriority w:val="99"/>
    <w:semiHidden/>
    <w:rsid w:val="00CC31FB"/>
    <w:pPr>
      <w:tabs>
        <w:tab w:val="center" w:pos="4320"/>
        <w:tab w:val="right" w:pos="8640"/>
      </w:tabs>
    </w:pPr>
  </w:style>
  <w:style w:type="character" w:customStyle="1" w:styleId="HeaderChar">
    <w:name w:val="Header Char"/>
    <w:basedOn w:val="DefaultParagraphFont"/>
    <w:link w:val="Header"/>
    <w:uiPriority w:val="99"/>
    <w:semiHidden/>
    <w:locked/>
    <w:rsid w:val="00D1625C"/>
    <w:rPr>
      <w:rFonts w:ascii="Courier" w:hAnsi="Courier" w:cs="Times New Roman"/>
      <w:sz w:val="24"/>
      <w:szCs w:val="24"/>
    </w:rPr>
  </w:style>
  <w:style w:type="paragraph" w:customStyle="1" w:styleId="TRWPTxtBullets">
    <w:name w:val="TR_WP_TxtBullets"/>
    <w:basedOn w:val="TRWPTxt"/>
    <w:rsid w:val="00310AFB"/>
    <w:pPr>
      <w:numPr>
        <w:numId w:val="1"/>
      </w:numPr>
      <w:tabs>
        <w:tab w:val="clear" w:pos="216"/>
        <w:tab w:val="num" w:pos="360"/>
      </w:tabs>
      <w:ind w:left="360" w:hanging="360"/>
    </w:pPr>
  </w:style>
  <w:style w:type="paragraph" w:customStyle="1" w:styleId="TRWPSideBarTxt">
    <w:name w:val="TR_WP_SideBarTxt"/>
    <w:basedOn w:val="TRWPTxt"/>
    <w:uiPriority w:val="99"/>
    <w:rsid w:val="00CE61BB"/>
    <w:pPr>
      <w:spacing w:after="80"/>
    </w:pPr>
    <w:rPr>
      <w:b/>
      <w:color w:val="005A84"/>
    </w:rPr>
  </w:style>
  <w:style w:type="paragraph" w:customStyle="1" w:styleId="TRWPAddress">
    <w:name w:val="TR_WP_Address"/>
    <w:basedOn w:val="TRWPTxt"/>
    <w:uiPriority w:val="99"/>
    <w:rsid w:val="00144F5B"/>
    <w:pPr>
      <w:spacing w:after="0"/>
    </w:pPr>
  </w:style>
  <w:style w:type="table" w:styleId="TableGrid">
    <w:name w:val="Table Grid"/>
    <w:basedOn w:val="TableNormal"/>
    <w:uiPriority w:val="99"/>
    <w:semiHidden/>
    <w:rsid w:val="009F40D5"/>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44F5B"/>
    <w:rPr>
      <w:rFonts w:cs="Times New Roman"/>
      <w:color w:val="0000FF"/>
      <w:u w:val="single"/>
    </w:rPr>
  </w:style>
  <w:style w:type="paragraph" w:customStyle="1" w:styleId="TRWPTitleL1">
    <w:name w:val="TR_WP_TitleL1"/>
    <w:basedOn w:val="Normal"/>
    <w:next w:val="TRWPTitleL2"/>
    <w:uiPriority w:val="99"/>
    <w:rsid w:val="00037864"/>
    <w:pPr>
      <w:spacing w:line="900" w:lineRule="exact"/>
      <w:ind w:left="360"/>
    </w:pPr>
    <w:rPr>
      <w:rFonts w:ascii="Arial" w:hAnsi="Arial" w:cs="Arial"/>
      <w:b/>
      <w:color w:val="FFFFFF"/>
      <w:sz w:val="90"/>
      <w:szCs w:val="90"/>
    </w:rPr>
  </w:style>
  <w:style w:type="paragraph" w:customStyle="1" w:styleId="TRWPTitleL2">
    <w:name w:val="TR_WP_TitleL2"/>
    <w:basedOn w:val="Normal"/>
    <w:uiPriority w:val="99"/>
    <w:rsid w:val="00037864"/>
    <w:pPr>
      <w:spacing w:line="900" w:lineRule="exact"/>
      <w:ind w:left="360"/>
    </w:pPr>
    <w:rPr>
      <w:rFonts w:ascii="Arial" w:hAnsi="Arial" w:cs="Arial"/>
      <w:color w:val="FFFFFF"/>
      <w:sz w:val="90"/>
      <w:szCs w:val="90"/>
    </w:rPr>
  </w:style>
  <w:style w:type="paragraph" w:customStyle="1" w:styleId="TRWPPgHead">
    <w:name w:val="TR_WP_PgHead"/>
    <w:basedOn w:val="Normal"/>
    <w:uiPriority w:val="99"/>
    <w:rsid w:val="00F3776A"/>
    <w:pPr>
      <w:spacing w:after="180"/>
    </w:pPr>
    <w:rPr>
      <w:rFonts w:ascii="Arial" w:hAnsi="Arial" w:cs="Arial"/>
      <w:color w:val="005A84"/>
      <w:sz w:val="40"/>
      <w:szCs w:val="40"/>
    </w:rPr>
  </w:style>
  <w:style w:type="character" w:styleId="PageNumber">
    <w:name w:val="page number"/>
    <w:basedOn w:val="DefaultParagraphFont"/>
    <w:uiPriority w:val="99"/>
    <w:semiHidden/>
    <w:rsid w:val="00E375D0"/>
    <w:rPr>
      <w:rFonts w:cs="Times New Roman"/>
    </w:rPr>
  </w:style>
  <w:style w:type="paragraph" w:styleId="TOC1">
    <w:name w:val="toc 1"/>
    <w:basedOn w:val="Normal"/>
    <w:next w:val="Normal"/>
    <w:autoRedefine/>
    <w:uiPriority w:val="39"/>
    <w:rsid w:val="00F827EA"/>
    <w:pPr>
      <w:tabs>
        <w:tab w:val="right" w:leader="dot" w:pos="6480"/>
      </w:tabs>
      <w:spacing w:before="60" w:after="60"/>
    </w:pPr>
    <w:rPr>
      <w:rFonts w:ascii="Arial" w:hAnsi="Arial"/>
      <w:b/>
      <w:color w:val="005A84"/>
    </w:rPr>
  </w:style>
  <w:style w:type="paragraph" w:styleId="TOC2">
    <w:name w:val="toc 2"/>
    <w:basedOn w:val="Normal"/>
    <w:next w:val="Normal"/>
    <w:autoRedefine/>
    <w:uiPriority w:val="39"/>
    <w:rsid w:val="00A47264"/>
    <w:pPr>
      <w:tabs>
        <w:tab w:val="right" w:leader="dot" w:pos="6840"/>
      </w:tabs>
      <w:ind w:left="245"/>
    </w:pPr>
    <w:rPr>
      <w:rFonts w:ascii="Arial" w:hAnsi="Arial"/>
      <w:b/>
      <w:color w:val="666666"/>
    </w:rPr>
  </w:style>
  <w:style w:type="paragraph" w:styleId="TOC3">
    <w:name w:val="toc 3"/>
    <w:basedOn w:val="Normal"/>
    <w:next w:val="Normal"/>
    <w:autoRedefine/>
    <w:uiPriority w:val="39"/>
    <w:rsid w:val="00A47264"/>
    <w:pPr>
      <w:tabs>
        <w:tab w:val="right" w:leader="dot" w:pos="6480"/>
      </w:tabs>
      <w:ind w:left="475"/>
    </w:pPr>
    <w:rPr>
      <w:rFonts w:ascii="Arial" w:hAnsi="Arial"/>
      <w:color w:val="666666"/>
      <w:sz w:val="22"/>
      <w:szCs w:val="22"/>
    </w:rPr>
  </w:style>
  <w:style w:type="character" w:customStyle="1" w:styleId="TRWPTxtChar">
    <w:name w:val="TR_WP_Txt Char"/>
    <w:basedOn w:val="DefaultParagraphFont"/>
    <w:link w:val="TRWPTxt"/>
    <w:locked/>
    <w:rsid w:val="000E3BE9"/>
    <w:rPr>
      <w:rFonts w:ascii="Arial" w:hAnsi="Arial" w:cs="Arial"/>
      <w:color w:val="666666"/>
      <w:lang w:val="en-US" w:eastAsia="en-US" w:bidi="ar-SA"/>
    </w:rPr>
  </w:style>
  <w:style w:type="paragraph" w:styleId="BalloonText">
    <w:name w:val="Balloon Text"/>
    <w:basedOn w:val="Normal"/>
    <w:link w:val="BalloonTextChar"/>
    <w:uiPriority w:val="99"/>
    <w:semiHidden/>
    <w:rsid w:val="00422A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625C"/>
    <w:rPr>
      <w:rFonts w:cs="Times New Roman"/>
      <w:sz w:val="2"/>
    </w:rPr>
  </w:style>
  <w:style w:type="paragraph" w:customStyle="1" w:styleId="Default">
    <w:name w:val="Default"/>
    <w:uiPriority w:val="99"/>
    <w:semiHidden/>
    <w:rsid w:val="00AE0018"/>
    <w:pPr>
      <w:autoSpaceDE w:val="0"/>
      <w:autoSpaceDN w:val="0"/>
      <w:adjustRightInd w:val="0"/>
    </w:pPr>
    <w:rPr>
      <w:color w:val="000000"/>
      <w:sz w:val="24"/>
      <w:szCs w:val="24"/>
    </w:rPr>
  </w:style>
  <w:style w:type="paragraph" w:styleId="ListBullet">
    <w:name w:val="List Bullet"/>
    <w:aliases w:val="BulletedList"/>
    <w:basedOn w:val="Normal"/>
    <w:uiPriority w:val="99"/>
    <w:semiHidden/>
    <w:rsid w:val="001270D4"/>
    <w:pPr>
      <w:numPr>
        <w:numId w:val="2"/>
      </w:numPr>
      <w:spacing w:before="120" w:after="60"/>
    </w:pPr>
    <w:rPr>
      <w:rFonts w:ascii="Times New Roman" w:hAnsi="Times New Roman"/>
      <w:szCs w:val="20"/>
    </w:rPr>
  </w:style>
  <w:style w:type="character" w:styleId="FollowedHyperlink">
    <w:name w:val="FollowedHyperlink"/>
    <w:basedOn w:val="DefaultParagraphFont"/>
    <w:uiPriority w:val="99"/>
    <w:semiHidden/>
    <w:rsid w:val="009B7E73"/>
    <w:rPr>
      <w:rFonts w:cs="Times New Roman"/>
      <w:color w:val="800080"/>
      <w:u w:val="single"/>
    </w:rPr>
  </w:style>
  <w:style w:type="paragraph" w:customStyle="1" w:styleId="trwptxt0">
    <w:name w:val="trwptxt"/>
    <w:basedOn w:val="Normal"/>
    <w:uiPriority w:val="99"/>
    <w:rsid w:val="00C2678F"/>
    <w:pPr>
      <w:spacing w:before="100" w:beforeAutospacing="1" w:after="100" w:afterAutospacing="1"/>
    </w:pPr>
    <w:rPr>
      <w:rFonts w:ascii="Times New Roman" w:hAnsi="Times New Roman"/>
    </w:rPr>
  </w:style>
  <w:style w:type="character" w:styleId="Emphasis">
    <w:name w:val="Emphasis"/>
    <w:basedOn w:val="DefaultParagraphFont"/>
    <w:uiPriority w:val="20"/>
    <w:qFormat/>
    <w:locked/>
    <w:rsid w:val="00310AFB"/>
    <w:rPr>
      <w:i/>
      <w:iCs/>
    </w:rPr>
  </w:style>
  <w:style w:type="paragraph" w:customStyle="1" w:styleId="lastincell">
    <w:name w:val="lastincell"/>
    <w:basedOn w:val="Normal"/>
    <w:rsid w:val="001149CC"/>
    <w:pPr>
      <w:spacing w:line="336" w:lineRule="auto"/>
    </w:pPr>
    <w:rPr>
      <w:rFonts w:ascii="Verdana" w:hAnsi="Verdana"/>
      <w:sz w:val="17"/>
      <w:szCs w:val="17"/>
    </w:rPr>
  </w:style>
  <w:style w:type="paragraph" w:styleId="Revision">
    <w:name w:val="Revision"/>
    <w:hidden/>
    <w:uiPriority w:val="99"/>
    <w:semiHidden/>
    <w:rsid w:val="005529DF"/>
    <w:rPr>
      <w:rFonts w:ascii="Courier" w:hAnsi="Courier"/>
      <w:sz w:val="24"/>
      <w:szCs w:val="24"/>
    </w:rPr>
  </w:style>
  <w:style w:type="paragraph" w:styleId="FootnoteText">
    <w:name w:val="footnote text"/>
    <w:basedOn w:val="Normal"/>
    <w:link w:val="FootnoteTextChar"/>
    <w:uiPriority w:val="99"/>
    <w:semiHidden/>
    <w:unhideWhenUsed/>
    <w:rsid w:val="00CC57B8"/>
    <w:rPr>
      <w:sz w:val="20"/>
      <w:szCs w:val="20"/>
    </w:rPr>
  </w:style>
  <w:style w:type="character" w:customStyle="1" w:styleId="FootnoteTextChar">
    <w:name w:val="Footnote Text Char"/>
    <w:basedOn w:val="DefaultParagraphFont"/>
    <w:link w:val="FootnoteText"/>
    <w:uiPriority w:val="99"/>
    <w:semiHidden/>
    <w:rsid w:val="00CC57B8"/>
    <w:rPr>
      <w:rFonts w:ascii="Courier" w:hAnsi="Courier"/>
    </w:rPr>
  </w:style>
  <w:style w:type="character" w:styleId="FootnoteReference">
    <w:name w:val="footnote reference"/>
    <w:basedOn w:val="DefaultParagraphFont"/>
    <w:uiPriority w:val="99"/>
    <w:semiHidden/>
    <w:unhideWhenUsed/>
    <w:rsid w:val="00CC57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350">
      <w:marLeft w:val="0"/>
      <w:marRight w:val="0"/>
      <w:marTop w:val="0"/>
      <w:marBottom w:val="0"/>
      <w:divBdr>
        <w:top w:val="none" w:sz="0" w:space="0" w:color="auto"/>
        <w:left w:val="none" w:sz="0" w:space="0" w:color="auto"/>
        <w:bottom w:val="none" w:sz="0" w:space="0" w:color="auto"/>
        <w:right w:val="none" w:sz="0" w:space="0" w:color="auto"/>
      </w:divBdr>
    </w:div>
    <w:div w:id="39400351">
      <w:marLeft w:val="0"/>
      <w:marRight w:val="0"/>
      <w:marTop w:val="0"/>
      <w:marBottom w:val="0"/>
      <w:divBdr>
        <w:top w:val="none" w:sz="0" w:space="0" w:color="auto"/>
        <w:left w:val="none" w:sz="0" w:space="0" w:color="auto"/>
        <w:bottom w:val="none" w:sz="0" w:space="0" w:color="auto"/>
        <w:right w:val="none" w:sz="0" w:space="0" w:color="auto"/>
      </w:divBdr>
    </w:div>
    <w:div w:id="39400352">
      <w:marLeft w:val="0"/>
      <w:marRight w:val="0"/>
      <w:marTop w:val="0"/>
      <w:marBottom w:val="0"/>
      <w:divBdr>
        <w:top w:val="none" w:sz="0" w:space="0" w:color="auto"/>
        <w:left w:val="none" w:sz="0" w:space="0" w:color="auto"/>
        <w:bottom w:val="none" w:sz="0" w:space="0" w:color="auto"/>
        <w:right w:val="none" w:sz="0" w:space="0" w:color="auto"/>
      </w:divBdr>
    </w:div>
    <w:div w:id="39400353">
      <w:marLeft w:val="0"/>
      <w:marRight w:val="0"/>
      <w:marTop w:val="0"/>
      <w:marBottom w:val="0"/>
      <w:divBdr>
        <w:top w:val="none" w:sz="0" w:space="0" w:color="auto"/>
        <w:left w:val="none" w:sz="0" w:space="0" w:color="auto"/>
        <w:bottom w:val="none" w:sz="0" w:space="0" w:color="auto"/>
        <w:right w:val="none" w:sz="0" w:space="0" w:color="auto"/>
      </w:divBdr>
    </w:div>
    <w:div w:id="39400354">
      <w:marLeft w:val="0"/>
      <w:marRight w:val="0"/>
      <w:marTop w:val="0"/>
      <w:marBottom w:val="0"/>
      <w:divBdr>
        <w:top w:val="none" w:sz="0" w:space="0" w:color="auto"/>
        <w:left w:val="none" w:sz="0" w:space="0" w:color="auto"/>
        <w:bottom w:val="none" w:sz="0" w:space="0" w:color="auto"/>
        <w:right w:val="none" w:sz="0" w:space="0" w:color="auto"/>
      </w:divBdr>
    </w:div>
    <w:div w:id="39400355">
      <w:marLeft w:val="0"/>
      <w:marRight w:val="0"/>
      <w:marTop w:val="0"/>
      <w:marBottom w:val="0"/>
      <w:divBdr>
        <w:top w:val="none" w:sz="0" w:space="0" w:color="auto"/>
        <w:left w:val="none" w:sz="0" w:space="0" w:color="auto"/>
        <w:bottom w:val="none" w:sz="0" w:space="0" w:color="auto"/>
        <w:right w:val="none" w:sz="0" w:space="0" w:color="auto"/>
      </w:divBdr>
    </w:div>
    <w:div w:id="39400356">
      <w:marLeft w:val="0"/>
      <w:marRight w:val="0"/>
      <w:marTop w:val="0"/>
      <w:marBottom w:val="0"/>
      <w:divBdr>
        <w:top w:val="none" w:sz="0" w:space="0" w:color="auto"/>
        <w:left w:val="none" w:sz="0" w:space="0" w:color="auto"/>
        <w:bottom w:val="none" w:sz="0" w:space="0" w:color="auto"/>
        <w:right w:val="none" w:sz="0" w:space="0" w:color="auto"/>
      </w:divBdr>
    </w:div>
    <w:div w:id="39400357">
      <w:marLeft w:val="0"/>
      <w:marRight w:val="0"/>
      <w:marTop w:val="0"/>
      <w:marBottom w:val="0"/>
      <w:divBdr>
        <w:top w:val="none" w:sz="0" w:space="0" w:color="auto"/>
        <w:left w:val="none" w:sz="0" w:space="0" w:color="auto"/>
        <w:bottom w:val="none" w:sz="0" w:space="0" w:color="auto"/>
        <w:right w:val="none" w:sz="0" w:space="0" w:color="auto"/>
      </w:divBdr>
    </w:div>
    <w:div w:id="39400358">
      <w:marLeft w:val="0"/>
      <w:marRight w:val="0"/>
      <w:marTop w:val="0"/>
      <w:marBottom w:val="0"/>
      <w:divBdr>
        <w:top w:val="none" w:sz="0" w:space="0" w:color="auto"/>
        <w:left w:val="none" w:sz="0" w:space="0" w:color="auto"/>
        <w:bottom w:val="none" w:sz="0" w:space="0" w:color="auto"/>
        <w:right w:val="none" w:sz="0" w:space="0" w:color="auto"/>
      </w:divBdr>
    </w:div>
    <w:div w:id="88236478">
      <w:bodyDiv w:val="1"/>
      <w:marLeft w:val="0"/>
      <w:marRight w:val="0"/>
      <w:marTop w:val="0"/>
      <w:marBottom w:val="0"/>
      <w:divBdr>
        <w:top w:val="none" w:sz="0" w:space="0" w:color="auto"/>
        <w:left w:val="none" w:sz="0" w:space="0" w:color="auto"/>
        <w:bottom w:val="none" w:sz="0" w:space="0" w:color="auto"/>
        <w:right w:val="none" w:sz="0" w:space="0" w:color="auto"/>
      </w:divBdr>
    </w:div>
    <w:div w:id="151918519">
      <w:bodyDiv w:val="1"/>
      <w:marLeft w:val="0"/>
      <w:marRight w:val="0"/>
      <w:marTop w:val="0"/>
      <w:marBottom w:val="0"/>
      <w:divBdr>
        <w:top w:val="none" w:sz="0" w:space="0" w:color="auto"/>
        <w:left w:val="none" w:sz="0" w:space="0" w:color="auto"/>
        <w:bottom w:val="none" w:sz="0" w:space="0" w:color="auto"/>
        <w:right w:val="none" w:sz="0" w:space="0" w:color="auto"/>
      </w:divBdr>
    </w:div>
    <w:div w:id="159778645">
      <w:bodyDiv w:val="1"/>
      <w:marLeft w:val="0"/>
      <w:marRight w:val="0"/>
      <w:marTop w:val="0"/>
      <w:marBottom w:val="0"/>
      <w:divBdr>
        <w:top w:val="none" w:sz="0" w:space="0" w:color="auto"/>
        <w:left w:val="none" w:sz="0" w:space="0" w:color="auto"/>
        <w:bottom w:val="none" w:sz="0" w:space="0" w:color="auto"/>
        <w:right w:val="none" w:sz="0" w:space="0" w:color="auto"/>
      </w:divBdr>
    </w:div>
    <w:div w:id="315646484">
      <w:bodyDiv w:val="1"/>
      <w:marLeft w:val="0"/>
      <w:marRight w:val="0"/>
      <w:marTop w:val="0"/>
      <w:marBottom w:val="0"/>
      <w:divBdr>
        <w:top w:val="none" w:sz="0" w:space="0" w:color="auto"/>
        <w:left w:val="none" w:sz="0" w:space="0" w:color="auto"/>
        <w:bottom w:val="none" w:sz="0" w:space="0" w:color="auto"/>
        <w:right w:val="none" w:sz="0" w:space="0" w:color="auto"/>
      </w:divBdr>
    </w:div>
    <w:div w:id="439640347">
      <w:bodyDiv w:val="1"/>
      <w:marLeft w:val="0"/>
      <w:marRight w:val="0"/>
      <w:marTop w:val="0"/>
      <w:marBottom w:val="0"/>
      <w:divBdr>
        <w:top w:val="none" w:sz="0" w:space="0" w:color="auto"/>
        <w:left w:val="none" w:sz="0" w:space="0" w:color="auto"/>
        <w:bottom w:val="none" w:sz="0" w:space="0" w:color="auto"/>
        <w:right w:val="none" w:sz="0" w:space="0" w:color="auto"/>
      </w:divBdr>
    </w:div>
    <w:div w:id="499196188">
      <w:bodyDiv w:val="1"/>
      <w:marLeft w:val="0"/>
      <w:marRight w:val="0"/>
      <w:marTop w:val="0"/>
      <w:marBottom w:val="0"/>
      <w:divBdr>
        <w:top w:val="none" w:sz="0" w:space="0" w:color="auto"/>
        <w:left w:val="none" w:sz="0" w:space="0" w:color="auto"/>
        <w:bottom w:val="none" w:sz="0" w:space="0" w:color="auto"/>
        <w:right w:val="none" w:sz="0" w:space="0" w:color="auto"/>
      </w:divBdr>
    </w:div>
    <w:div w:id="651956842">
      <w:bodyDiv w:val="1"/>
      <w:marLeft w:val="0"/>
      <w:marRight w:val="0"/>
      <w:marTop w:val="0"/>
      <w:marBottom w:val="0"/>
      <w:divBdr>
        <w:top w:val="none" w:sz="0" w:space="0" w:color="auto"/>
        <w:left w:val="none" w:sz="0" w:space="0" w:color="auto"/>
        <w:bottom w:val="none" w:sz="0" w:space="0" w:color="auto"/>
        <w:right w:val="none" w:sz="0" w:space="0" w:color="auto"/>
      </w:divBdr>
    </w:div>
    <w:div w:id="788401148">
      <w:bodyDiv w:val="1"/>
      <w:marLeft w:val="0"/>
      <w:marRight w:val="0"/>
      <w:marTop w:val="0"/>
      <w:marBottom w:val="0"/>
      <w:divBdr>
        <w:top w:val="none" w:sz="0" w:space="0" w:color="auto"/>
        <w:left w:val="none" w:sz="0" w:space="0" w:color="auto"/>
        <w:bottom w:val="none" w:sz="0" w:space="0" w:color="auto"/>
        <w:right w:val="none" w:sz="0" w:space="0" w:color="auto"/>
      </w:divBdr>
    </w:div>
    <w:div w:id="831415389">
      <w:bodyDiv w:val="1"/>
      <w:marLeft w:val="0"/>
      <w:marRight w:val="0"/>
      <w:marTop w:val="0"/>
      <w:marBottom w:val="0"/>
      <w:divBdr>
        <w:top w:val="none" w:sz="0" w:space="0" w:color="auto"/>
        <w:left w:val="none" w:sz="0" w:space="0" w:color="auto"/>
        <w:bottom w:val="none" w:sz="0" w:space="0" w:color="auto"/>
        <w:right w:val="none" w:sz="0" w:space="0" w:color="auto"/>
      </w:divBdr>
    </w:div>
    <w:div w:id="897743187">
      <w:bodyDiv w:val="1"/>
      <w:marLeft w:val="0"/>
      <w:marRight w:val="0"/>
      <w:marTop w:val="0"/>
      <w:marBottom w:val="0"/>
      <w:divBdr>
        <w:top w:val="none" w:sz="0" w:space="0" w:color="auto"/>
        <w:left w:val="none" w:sz="0" w:space="0" w:color="auto"/>
        <w:bottom w:val="none" w:sz="0" w:space="0" w:color="auto"/>
        <w:right w:val="none" w:sz="0" w:space="0" w:color="auto"/>
      </w:divBdr>
    </w:div>
    <w:div w:id="1028994621">
      <w:bodyDiv w:val="1"/>
      <w:marLeft w:val="0"/>
      <w:marRight w:val="0"/>
      <w:marTop w:val="0"/>
      <w:marBottom w:val="0"/>
      <w:divBdr>
        <w:top w:val="none" w:sz="0" w:space="0" w:color="auto"/>
        <w:left w:val="none" w:sz="0" w:space="0" w:color="auto"/>
        <w:bottom w:val="none" w:sz="0" w:space="0" w:color="auto"/>
        <w:right w:val="none" w:sz="0" w:space="0" w:color="auto"/>
      </w:divBdr>
    </w:div>
    <w:div w:id="1117331309">
      <w:bodyDiv w:val="1"/>
      <w:marLeft w:val="0"/>
      <w:marRight w:val="0"/>
      <w:marTop w:val="0"/>
      <w:marBottom w:val="0"/>
      <w:divBdr>
        <w:top w:val="none" w:sz="0" w:space="0" w:color="auto"/>
        <w:left w:val="none" w:sz="0" w:space="0" w:color="auto"/>
        <w:bottom w:val="none" w:sz="0" w:space="0" w:color="auto"/>
        <w:right w:val="none" w:sz="0" w:space="0" w:color="auto"/>
      </w:divBdr>
    </w:div>
    <w:div w:id="1134182349">
      <w:bodyDiv w:val="1"/>
      <w:marLeft w:val="0"/>
      <w:marRight w:val="0"/>
      <w:marTop w:val="0"/>
      <w:marBottom w:val="0"/>
      <w:divBdr>
        <w:top w:val="none" w:sz="0" w:space="0" w:color="auto"/>
        <w:left w:val="none" w:sz="0" w:space="0" w:color="auto"/>
        <w:bottom w:val="none" w:sz="0" w:space="0" w:color="auto"/>
        <w:right w:val="none" w:sz="0" w:space="0" w:color="auto"/>
      </w:divBdr>
    </w:div>
    <w:div w:id="1134984050">
      <w:bodyDiv w:val="1"/>
      <w:marLeft w:val="0"/>
      <w:marRight w:val="0"/>
      <w:marTop w:val="0"/>
      <w:marBottom w:val="0"/>
      <w:divBdr>
        <w:top w:val="none" w:sz="0" w:space="0" w:color="auto"/>
        <w:left w:val="none" w:sz="0" w:space="0" w:color="auto"/>
        <w:bottom w:val="none" w:sz="0" w:space="0" w:color="auto"/>
        <w:right w:val="none" w:sz="0" w:space="0" w:color="auto"/>
      </w:divBdr>
    </w:div>
    <w:div w:id="1170293925">
      <w:bodyDiv w:val="1"/>
      <w:marLeft w:val="0"/>
      <w:marRight w:val="0"/>
      <w:marTop w:val="0"/>
      <w:marBottom w:val="0"/>
      <w:divBdr>
        <w:top w:val="none" w:sz="0" w:space="0" w:color="auto"/>
        <w:left w:val="none" w:sz="0" w:space="0" w:color="auto"/>
        <w:bottom w:val="none" w:sz="0" w:space="0" w:color="auto"/>
        <w:right w:val="none" w:sz="0" w:space="0" w:color="auto"/>
      </w:divBdr>
    </w:div>
    <w:div w:id="1215040653">
      <w:bodyDiv w:val="1"/>
      <w:marLeft w:val="0"/>
      <w:marRight w:val="0"/>
      <w:marTop w:val="0"/>
      <w:marBottom w:val="0"/>
      <w:divBdr>
        <w:top w:val="none" w:sz="0" w:space="0" w:color="auto"/>
        <w:left w:val="none" w:sz="0" w:space="0" w:color="auto"/>
        <w:bottom w:val="none" w:sz="0" w:space="0" w:color="auto"/>
        <w:right w:val="none" w:sz="0" w:space="0" w:color="auto"/>
      </w:divBdr>
    </w:div>
    <w:div w:id="1215194517">
      <w:bodyDiv w:val="1"/>
      <w:marLeft w:val="0"/>
      <w:marRight w:val="0"/>
      <w:marTop w:val="0"/>
      <w:marBottom w:val="0"/>
      <w:divBdr>
        <w:top w:val="none" w:sz="0" w:space="0" w:color="auto"/>
        <w:left w:val="none" w:sz="0" w:space="0" w:color="auto"/>
        <w:bottom w:val="none" w:sz="0" w:space="0" w:color="auto"/>
        <w:right w:val="none" w:sz="0" w:space="0" w:color="auto"/>
      </w:divBdr>
    </w:div>
    <w:div w:id="1251424019">
      <w:bodyDiv w:val="1"/>
      <w:marLeft w:val="0"/>
      <w:marRight w:val="0"/>
      <w:marTop w:val="0"/>
      <w:marBottom w:val="0"/>
      <w:divBdr>
        <w:top w:val="none" w:sz="0" w:space="0" w:color="auto"/>
        <w:left w:val="none" w:sz="0" w:space="0" w:color="auto"/>
        <w:bottom w:val="none" w:sz="0" w:space="0" w:color="auto"/>
        <w:right w:val="none" w:sz="0" w:space="0" w:color="auto"/>
      </w:divBdr>
    </w:div>
    <w:div w:id="1416828611">
      <w:bodyDiv w:val="1"/>
      <w:marLeft w:val="0"/>
      <w:marRight w:val="0"/>
      <w:marTop w:val="0"/>
      <w:marBottom w:val="0"/>
      <w:divBdr>
        <w:top w:val="none" w:sz="0" w:space="0" w:color="auto"/>
        <w:left w:val="none" w:sz="0" w:space="0" w:color="auto"/>
        <w:bottom w:val="none" w:sz="0" w:space="0" w:color="auto"/>
        <w:right w:val="none" w:sz="0" w:space="0" w:color="auto"/>
      </w:divBdr>
    </w:div>
    <w:div w:id="1456757511">
      <w:bodyDiv w:val="1"/>
      <w:marLeft w:val="0"/>
      <w:marRight w:val="0"/>
      <w:marTop w:val="0"/>
      <w:marBottom w:val="0"/>
      <w:divBdr>
        <w:top w:val="none" w:sz="0" w:space="0" w:color="auto"/>
        <w:left w:val="none" w:sz="0" w:space="0" w:color="auto"/>
        <w:bottom w:val="none" w:sz="0" w:space="0" w:color="auto"/>
        <w:right w:val="none" w:sz="0" w:space="0" w:color="auto"/>
      </w:divBdr>
    </w:div>
    <w:div w:id="1548224550">
      <w:bodyDiv w:val="1"/>
      <w:marLeft w:val="0"/>
      <w:marRight w:val="0"/>
      <w:marTop w:val="0"/>
      <w:marBottom w:val="0"/>
      <w:divBdr>
        <w:top w:val="none" w:sz="0" w:space="0" w:color="auto"/>
        <w:left w:val="none" w:sz="0" w:space="0" w:color="auto"/>
        <w:bottom w:val="none" w:sz="0" w:space="0" w:color="auto"/>
        <w:right w:val="none" w:sz="0" w:space="0" w:color="auto"/>
      </w:divBdr>
    </w:div>
    <w:div w:id="1664553201">
      <w:bodyDiv w:val="1"/>
      <w:marLeft w:val="0"/>
      <w:marRight w:val="0"/>
      <w:marTop w:val="0"/>
      <w:marBottom w:val="0"/>
      <w:divBdr>
        <w:top w:val="none" w:sz="0" w:space="0" w:color="auto"/>
        <w:left w:val="none" w:sz="0" w:space="0" w:color="auto"/>
        <w:bottom w:val="none" w:sz="0" w:space="0" w:color="auto"/>
        <w:right w:val="none" w:sz="0" w:space="0" w:color="auto"/>
      </w:divBdr>
    </w:div>
    <w:div w:id="1746099776">
      <w:bodyDiv w:val="1"/>
      <w:marLeft w:val="0"/>
      <w:marRight w:val="0"/>
      <w:marTop w:val="0"/>
      <w:marBottom w:val="0"/>
      <w:divBdr>
        <w:top w:val="none" w:sz="0" w:space="0" w:color="auto"/>
        <w:left w:val="none" w:sz="0" w:space="0" w:color="auto"/>
        <w:bottom w:val="none" w:sz="0" w:space="0" w:color="auto"/>
        <w:right w:val="none" w:sz="0" w:space="0" w:color="auto"/>
      </w:divBdr>
    </w:div>
    <w:div w:id="1912616959">
      <w:bodyDiv w:val="1"/>
      <w:marLeft w:val="0"/>
      <w:marRight w:val="0"/>
      <w:marTop w:val="0"/>
      <w:marBottom w:val="0"/>
      <w:divBdr>
        <w:top w:val="none" w:sz="0" w:space="0" w:color="auto"/>
        <w:left w:val="none" w:sz="0" w:space="0" w:color="auto"/>
        <w:bottom w:val="none" w:sz="0" w:space="0" w:color="auto"/>
        <w:right w:val="none" w:sz="0" w:space="0" w:color="auto"/>
      </w:divBdr>
    </w:div>
    <w:div w:id="2031833451">
      <w:bodyDiv w:val="1"/>
      <w:marLeft w:val="0"/>
      <w:marRight w:val="0"/>
      <w:marTop w:val="0"/>
      <w:marBottom w:val="0"/>
      <w:divBdr>
        <w:top w:val="none" w:sz="0" w:space="0" w:color="auto"/>
        <w:left w:val="none" w:sz="0" w:space="0" w:color="auto"/>
        <w:bottom w:val="none" w:sz="0" w:space="0" w:color="auto"/>
        <w:right w:val="none" w:sz="0" w:space="0" w:color="auto"/>
      </w:divBdr>
    </w:div>
    <w:div w:id="2039963134">
      <w:bodyDiv w:val="1"/>
      <w:marLeft w:val="0"/>
      <w:marRight w:val="0"/>
      <w:marTop w:val="0"/>
      <w:marBottom w:val="0"/>
      <w:divBdr>
        <w:top w:val="none" w:sz="0" w:space="0" w:color="auto"/>
        <w:left w:val="none" w:sz="0" w:space="0" w:color="auto"/>
        <w:bottom w:val="none" w:sz="0" w:space="0" w:color="auto"/>
        <w:right w:val="none" w:sz="0" w:space="0" w:color="auto"/>
      </w:divBdr>
    </w:div>
    <w:div w:id="205881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upport.office.com/en-us/article/Office-2007-End-of-Life-roadmap-416c54d8-823c-4def-bb7a-6a9b14ef2745?ui=en-US&amp;rs=en-US&amp;ad=U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upport.microsoft.com/en-us/lifecyc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support.fasttax.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teasoftware.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oteasoftware.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oteasoftw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oboHelp%20Office\RoboHELP\WordTemp\Word11\TR_US_WP_Blue_Document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0EAA-A69E-4124-B182-77E6813C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TR_US_WP_Blue_Documentation.dot</Template>
  <TotalTime>30</TotalTime>
  <Pages>7</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ONESOURCE Trust &amp; Estate Administration Software System Requirements</vt:lpstr>
    </vt:vector>
  </TitlesOfParts>
  <Company>Thomson Reuters</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ONESOURCE Trust &amp; Estate Administration Software System Requirements</dc:title>
  <dc:creator>Thomson Reuters</dc:creator>
  <cp:lastModifiedBy>Crisefi, Mike (Tax&amp;Accounting)</cp:lastModifiedBy>
  <cp:revision>8</cp:revision>
  <cp:lastPrinted>2018-09-17T21:45:00Z</cp:lastPrinted>
  <dcterms:created xsi:type="dcterms:W3CDTF">2017-09-08T18:38:00Z</dcterms:created>
  <dcterms:modified xsi:type="dcterms:W3CDTF">2018-09-17T21:47:00Z</dcterms:modified>
</cp:coreProperties>
</file>